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CC78" w14:textId="40D115BF" w:rsidR="000801EA" w:rsidRPr="000801EA" w:rsidRDefault="007502DE" w:rsidP="00F24163">
      <w:pPr>
        <w:shd w:val="clear" w:color="auto" w:fill="FFFFFF"/>
        <w:spacing w:after="100" w:afterAutospacing="1" w:line="240" w:lineRule="auto"/>
        <w:outlineLvl w:val="1"/>
        <w:rPr>
          <w:rFonts w:ascii="Arial" w:eastAsia="Times New Roman" w:hAnsi="Arial" w:cs="Arial"/>
          <w:color w:val="212529"/>
          <w:sz w:val="36"/>
          <w:szCs w:val="36"/>
        </w:rPr>
      </w:pPr>
      <w:r>
        <w:rPr>
          <w:rFonts w:ascii="Arial" w:eastAsia="Times New Roman" w:hAnsi="Arial" w:cs="Arial"/>
          <w:color w:val="212529"/>
          <w:sz w:val="36"/>
          <w:szCs w:val="36"/>
        </w:rPr>
        <w:t xml:space="preserve">Building Assessment </w:t>
      </w:r>
      <w:r w:rsidR="000801EA" w:rsidRPr="000801EA">
        <w:rPr>
          <w:rFonts w:ascii="Arial" w:eastAsia="Times New Roman" w:hAnsi="Arial" w:cs="Arial"/>
          <w:color w:val="212529"/>
          <w:sz w:val="36"/>
          <w:szCs w:val="36"/>
        </w:rPr>
        <w:t xml:space="preserve">Report Guidelines  </w:t>
      </w:r>
    </w:p>
    <w:p w14:paraId="0C88EC1E" w14:textId="173F6673" w:rsidR="000801EA" w:rsidRPr="000801EA" w:rsidRDefault="000801EA" w:rsidP="000801EA">
      <w:pPr>
        <w:spacing w:after="0" w:line="240" w:lineRule="auto"/>
        <w:rPr>
          <w:rFonts w:ascii="Times New Roman" w:eastAsia="Times New Roman" w:hAnsi="Times New Roman" w:cs="Times New Roman"/>
          <w:sz w:val="24"/>
          <w:szCs w:val="24"/>
        </w:rPr>
      </w:pPr>
      <w:r w:rsidRPr="000801EA">
        <w:rPr>
          <w:rFonts w:ascii="Arial" w:eastAsia="Times New Roman" w:hAnsi="Arial" w:cs="Arial"/>
          <w:b/>
          <w:bCs/>
          <w:color w:val="212529"/>
          <w:sz w:val="24"/>
          <w:szCs w:val="24"/>
          <w:shd w:val="clear" w:color="auto" w:fill="FFFFFF"/>
        </w:rPr>
        <w:t>Version: 1.</w:t>
      </w:r>
      <w:r w:rsidR="007502DE">
        <w:rPr>
          <w:rFonts w:ascii="Arial" w:eastAsia="Times New Roman" w:hAnsi="Arial" w:cs="Arial"/>
          <w:b/>
          <w:bCs/>
          <w:color w:val="212529"/>
          <w:sz w:val="24"/>
          <w:szCs w:val="24"/>
          <w:shd w:val="clear" w:color="auto" w:fill="FFFFFF"/>
        </w:rPr>
        <w:t>0</w:t>
      </w:r>
      <w:r w:rsidRPr="000801EA">
        <w:rPr>
          <w:rFonts w:ascii="Arial" w:eastAsia="Times New Roman" w:hAnsi="Arial" w:cs="Arial"/>
          <w:b/>
          <w:bCs/>
          <w:color w:val="212529"/>
          <w:sz w:val="24"/>
          <w:szCs w:val="24"/>
          <w:shd w:val="clear" w:color="auto" w:fill="FFFFFF"/>
        </w:rPr>
        <w:t xml:space="preserve"> (A</w:t>
      </w:r>
      <w:r w:rsidR="007502DE">
        <w:rPr>
          <w:rFonts w:ascii="Arial" w:eastAsia="Times New Roman" w:hAnsi="Arial" w:cs="Arial"/>
          <w:b/>
          <w:bCs/>
          <w:color w:val="212529"/>
          <w:sz w:val="24"/>
          <w:szCs w:val="24"/>
          <w:shd w:val="clear" w:color="auto" w:fill="FFFFFF"/>
        </w:rPr>
        <w:t xml:space="preserve">pril </w:t>
      </w:r>
      <w:r w:rsidRPr="000801EA">
        <w:rPr>
          <w:rFonts w:ascii="Arial" w:eastAsia="Times New Roman" w:hAnsi="Arial" w:cs="Arial"/>
          <w:b/>
          <w:bCs/>
          <w:color w:val="212529"/>
          <w:sz w:val="24"/>
          <w:szCs w:val="24"/>
          <w:shd w:val="clear" w:color="auto" w:fill="FFFFFF"/>
        </w:rPr>
        <w:t>20</w:t>
      </w:r>
      <w:r w:rsidR="007502DE">
        <w:rPr>
          <w:rFonts w:ascii="Arial" w:eastAsia="Times New Roman" w:hAnsi="Arial" w:cs="Arial"/>
          <w:b/>
          <w:bCs/>
          <w:color w:val="212529"/>
          <w:sz w:val="24"/>
          <w:szCs w:val="24"/>
          <w:shd w:val="clear" w:color="auto" w:fill="FFFFFF"/>
        </w:rPr>
        <w:t>2</w:t>
      </w:r>
      <w:r w:rsidRPr="000801EA">
        <w:rPr>
          <w:rFonts w:ascii="Arial" w:eastAsia="Times New Roman" w:hAnsi="Arial" w:cs="Arial"/>
          <w:b/>
          <w:bCs/>
          <w:color w:val="212529"/>
          <w:sz w:val="24"/>
          <w:szCs w:val="24"/>
          <w:shd w:val="clear" w:color="auto" w:fill="FFFFFF"/>
        </w:rPr>
        <w:t>1)</w:t>
      </w:r>
    </w:p>
    <w:p w14:paraId="7BD6EA2D" w14:textId="77777777" w:rsidR="000801EA" w:rsidRPr="000801EA" w:rsidRDefault="007206AD" w:rsidP="000801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BEF48F">
          <v:rect id="_x0000_i1025" style="width:0;height:0" o:hrstd="t" o:hrnoshade="t" o:hr="t" fillcolor="#212529" stroked="f"/>
        </w:pict>
      </w:r>
    </w:p>
    <w:p w14:paraId="7EE2B1C9" w14:textId="424AD513" w:rsidR="000801EA" w:rsidRPr="000801EA" w:rsidRDefault="000801EA" w:rsidP="000801EA">
      <w:pPr>
        <w:shd w:val="clear" w:color="auto" w:fill="FFFFFF"/>
        <w:spacing w:after="100" w:afterAutospacing="1" w:line="240" w:lineRule="auto"/>
        <w:rPr>
          <w:rFonts w:ascii="Arial" w:eastAsia="Times New Roman" w:hAnsi="Arial" w:cs="Arial"/>
          <w:color w:val="212529"/>
          <w:sz w:val="24"/>
          <w:szCs w:val="24"/>
        </w:rPr>
      </w:pPr>
      <w:r w:rsidRPr="000801EA">
        <w:rPr>
          <w:rFonts w:ascii="Arial" w:eastAsia="Times New Roman" w:hAnsi="Arial" w:cs="Arial"/>
          <w:color w:val="212529"/>
          <w:sz w:val="24"/>
          <w:szCs w:val="24"/>
        </w:rPr>
        <w:t>Industrial Assessment Center (IAC) reports accomplish multiple purposes and provide a reflection on the authoring institution, the IAC program, and the United States Department of Energy (DOE).</w:t>
      </w:r>
    </w:p>
    <w:p w14:paraId="59CB6C85" w14:textId="05A5A729" w:rsidR="000801EA" w:rsidRPr="000801EA" w:rsidRDefault="000801EA" w:rsidP="00FB21BB">
      <w:pPr>
        <w:shd w:val="clear" w:color="auto" w:fill="FFFFFF"/>
        <w:spacing w:before="100" w:beforeAutospacing="1" w:after="100" w:afterAutospacing="1" w:line="240" w:lineRule="auto"/>
        <w:rPr>
          <w:rFonts w:ascii="Arial" w:eastAsia="Times New Roman" w:hAnsi="Arial" w:cs="Arial"/>
          <w:color w:val="212529"/>
          <w:sz w:val="24"/>
          <w:szCs w:val="24"/>
        </w:rPr>
      </w:pPr>
      <w:r w:rsidRPr="000801EA">
        <w:rPr>
          <w:rFonts w:ascii="Arial" w:eastAsia="Times New Roman" w:hAnsi="Arial" w:cs="Arial"/>
          <w:b/>
          <w:bCs/>
          <w:color w:val="212529"/>
          <w:sz w:val="24"/>
          <w:szCs w:val="24"/>
        </w:rPr>
        <w:t xml:space="preserve">Contents of an IAC </w:t>
      </w:r>
      <w:r w:rsidR="007502DE">
        <w:rPr>
          <w:rFonts w:ascii="Arial" w:eastAsia="Times New Roman" w:hAnsi="Arial" w:cs="Arial"/>
          <w:b/>
          <w:bCs/>
          <w:color w:val="212529"/>
          <w:sz w:val="24"/>
          <w:szCs w:val="24"/>
        </w:rPr>
        <w:t xml:space="preserve">Building </w:t>
      </w:r>
      <w:r w:rsidRPr="000801EA">
        <w:rPr>
          <w:rFonts w:ascii="Arial" w:eastAsia="Times New Roman" w:hAnsi="Arial" w:cs="Arial"/>
          <w:b/>
          <w:bCs/>
          <w:color w:val="212529"/>
          <w:sz w:val="24"/>
          <w:szCs w:val="24"/>
        </w:rPr>
        <w:t>Assessment Report</w:t>
      </w:r>
    </w:p>
    <w:p w14:paraId="6C0F17EF" w14:textId="052D8A59" w:rsidR="000801EA" w:rsidRDefault="000801EA" w:rsidP="00855F91">
      <w:pPr>
        <w:numPr>
          <w:ilvl w:val="1"/>
          <w:numId w:val="2"/>
        </w:numPr>
        <w:shd w:val="clear" w:color="auto" w:fill="FFFFFF"/>
        <w:tabs>
          <w:tab w:val="clear" w:pos="1440"/>
          <w:tab w:val="num" w:pos="1080"/>
        </w:tabs>
        <w:spacing w:before="100" w:beforeAutospacing="1" w:after="240" w:line="240" w:lineRule="auto"/>
        <w:ind w:left="1080" w:hanging="720"/>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Foremost, the </w:t>
      </w:r>
      <w:r w:rsidR="007502DE">
        <w:rPr>
          <w:rFonts w:ascii="Arial" w:eastAsia="Times New Roman" w:hAnsi="Arial" w:cs="Arial"/>
          <w:color w:val="212529"/>
          <w:sz w:val="24"/>
          <w:szCs w:val="24"/>
        </w:rPr>
        <w:t xml:space="preserve">building </w:t>
      </w:r>
      <w:r w:rsidRPr="000801EA">
        <w:rPr>
          <w:rFonts w:ascii="Arial" w:eastAsia="Times New Roman" w:hAnsi="Arial" w:cs="Arial"/>
          <w:color w:val="212529"/>
          <w:sz w:val="24"/>
          <w:szCs w:val="24"/>
        </w:rPr>
        <w:t>assessment report should be a tool to assist the client facility personnel in implementing the energy</w:t>
      </w:r>
      <w:r w:rsidR="007502DE">
        <w:rPr>
          <w:rFonts w:ascii="Arial" w:eastAsia="Times New Roman" w:hAnsi="Arial" w:cs="Arial"/>
          <w:color w:val="212529"/>
          <w:sz w:val="24"/>
          <w:szCs w:val="24"/>
        </w:rPr>
        <w:t xml:space="preserve"> </w:t>
      </w:r>
      <w:r w:rsidRPr="000801EA">
        <w:rPr>
          <w:rFonts w:ascii="Arial" w:eastAsia="Times New Roman" w:hAnsi="Arial" w:cs="Arial"/>
          <w:color w:val="212529"/>
          <w:sz w:val="24"/>
          <w:szCs w:val="24"/>
        </w:rPr>
        <w:t>recommendations made by the IAC team.</w:t>
      </w:r>
    </w:p>
    <w:p w14:paraId="239F6D11" w14:textId="6077C1D5" w:rsidR="000F0E51" w:rsidRDefault="000801EA" w:rsidP="00FB21BB">
      <w:pPr>
        <w:numPr>
          <w:ilvl w:val="1"/>
          <w:numId w:val="3"/>
        </w:numPr>
        <w:shd w:val="clear" w:color="auto" w:fill="FFFFFF"/>
        <w:tabs>
          <w:tab w:val="clear" w:pos="1440"/>
          <w:tab w:val="num" w:pos="1080"/>
        </w:tabs>
        <w:spacing w:after="0" w:line="240" w:lineRule="auto"/>
        <w:ind w:left="1080" w:hanging="720"/>
        <w:rPr>
          <w:rFonts w:ascii="Arial" w:eastAsia="Times New Roman" w:hAnsi="Arial" w:cs="Arial"/>
          <w:color w:val="212529"/>
          <w:sz w:val="24"/>
          <w:szCs w:val="24"/>
        </w:rPr>
      </w:pPr>
      <w:r w:rsidRPr="000F0E51">
        <w:rPr>
          <w:rFonts w:ascii="Arial" w:eastAsia="Times New Roman" w:hAnsi="Arial" w:cs="Arial"/>
          <w:color w:val="212529"/>
          <w:sz w:val="24"/>
          <w:szCs w:val="24"/>
        </w:rPr>
        <w:t xml:space="preserve">Successful assessment reports provide an accurate, comprehensive record of the IAC </w:t>
      </w:r>
      <w:r w:rsidR="007502DE" w:rsidRPr="000F0E51">
        <w:rPr>
          <w:rFonts w:ascii="Arial" w:eastAsia="Times New Roman" w:hAnsi="Arial" w:cs="Arial"/>
          <w:color w:val="212529"/>
          <w:sz w:val="24"/>
          <w:szCs w:val="24"/>
        </w:rPr>
        <w:t xml:space="preserve">building </w:t>
      </w:r>
      <w:r w:rsidRPr="000F0E51">
        <w:rPr>
          <w:rFonts w:ascii="Arial" w:eastAsia="Times New Roman" w:hAnsi="Arial" w:cs="Arial"/>
          <w:color w:val="212529"/>
          <w:sz w:val="24"/>
          <w:szCs w:val="24"/>
        </w:rPr>
        <w:t xml:space="preserve">assessment visit and reflect an understanding of the </w:t>
      </w:r>
      <w:r w:rsidR="007502DE" w:rsidRPr="000F0E51">
        <w:rPr>
          <w:rFonts w:ascii="Arial" w:eastAsia="Times New Roman" w:hAnsi="Arial" w:cs="Arial"/>
          <w:color w:val="212529"/>
          <w:sz w:val="24"/>
          <w:szCs w:val="24"/>
        </w:rPr>
        <w:t xml:space="preserve">building </w:t>
      </w:r>
      <w:r w:rsidR="005C3A8F">
        <w:rPr>
          <w:rFonts w:ascii="Arial" w:eastAsia="Times New Roman" w:hAnsi="Arial" w:cs="Arial"/>
          <w:color w:val="212529"/>
          <w:sz w:val="24"/>
          <w:szCs w:val="24"/>
        </w:rPr>
        <w:t>energy systems</w:t>
      </w:r>
      <w:r w:rsidR="005C3A8F" w:rsidRPr="000F0E51">
        <w:rPr>
          <w:rFonts w:ascii="Arial" w:eastAsia="Times New Roman" w:hAnsi="Arial" w:cs="Arial"/>
          <w:color w:val="212529"/>
          <w:sz w:val="24"/>
          <w:szCs w:val="24"/>
        </w:rPr>
        <w:t xml:space="preserve"> </w:t>
      </w:r>
      <w:r w:rsidRPr="000F0E51">
        <w:rPr>
          <w:rFonts w:ascii="Arial" w:eastAsia="Times New Roman" w:hAnsi="Arial" w:cs="Arial"/>
          <w:color w:val="212529"/>
          <w:sz w:val="24"/>
          <w:szCs w:val="24"/>
        </w:rPr>
        <w:t>acquired by the IAC team.</w:t>
      </w:r>
    </w:p>
    <w:p w14:paraId="05678856" w14:textId="77777777" w:rsidR="000F0E51" w:rsidRPr="000F0E51" w:rsidRDefault="000F0E51" w:rsidP="00FB21BB">
      <w:pPr>
        <w:shd w:val="clear" w:color="auto" w:fill="FFFFFF"/>
        <w:tabs>
          <w:tab w:val="num" w:pos="1080"/>
        </w:tabs>
        <w:spacing w:after="0" w:line="240" w:lineRule="auto"/>
        <w:ind w:left="1080" w:hanging="720"/>
        <w:rPr>
          <w:rFonts w:ascii="Arial" w:eastAsia="Times New Roman" w:hAnsi="Arial" w:cs="Arial"/>
          <w:color w:val="212529"/>
          <w:sz w:val="24"/>
          <w:szCs w:val="24"/>
        </w:rPr>
      </w:pPr>
    </w:p>
    <w:p w14:paraId="5E258B90" w14:textId="06783DB7" w:rsidR="000801EA" w:rsidRPr="000801EA" w:rsidRDefault="000801EA" w:rsidP="00FB21BB">
      <w:pPr>
        <w:numPr>
          <w:ilvl w:val="1"/>
          <w:numId w:val="3"/>
        </w:numPr>
        <w:shd w:val="clear" w:color="auto" w:fill="FFFFFF"/>
        <w:tabs>
          <w:tab w:val="clear" w:pos="1440"/>
          <w:tab w:val="num" w:pos="1080"/>
        </w:tabs>
        <w:spacing w:after="100" w:afterAutospacing="1" w:line="240" w:lineRule="auto"/>
        <w:ind w:left="1080" w:hanging="720"/>
        <w:rPr>
          <w:rFonts w:ascii="Arial" w:eastAsia="Times New Roman" w:hAnsi="Arial" w:cs="Arial"/>
          <w:color w:val="212529"/>
          <w:sz w:val="24"/>
          <w:szCs w:val="24"/>
        </w:rPr>
      </w:pPr>
      <w:r w:rsidRPr="000801EA">
        <w:rPr>
          <w:rFonts w:ascii="Arial" w:eastAsia="Times New Roman" w:hAnsi="Arial" w:cs="Arial"/>
          <w:color w:val="212529"/>
          <w:sz w:val="24"/>
          <w:szCs w:val="24"/>
        </w:rPr>
        <w:t>Unit Systems</w:t>
      </w:r>
    </w:p>
    <w:p w14:paraId="616805A7" w14:textId="0035C223" w:rsidR="000801EA" w:rsidRPr="000801EA" w:rsidRDefault="000801EA" w:rsidP="00FB21BB">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3.1</w:t>
      </w:r>
      <w:r w:rsidR="00FB21BB">
        <w:rPr>
          <w:rFonts w:ascii="Arial" w:eastAsia="Times New Roman" w:hAnsi="Arial" w:cs="Arial"/>
          <w:color w:val="212529"/>
          <w:sz w:val="24"/>
          <w:szCs w:val="24"/>
        </w:rPr>
        <w:tab/>
      </w:r>
      <w:r w:rsidRPr="000801EA">
        <w:rPr>
          <w:rFonts w:ascii="Arial" w:eastAsia="Times New Roman" w:hAnsi="Arial" w:cs="Arial"/>
          <w:color w:val="212529"/>
          <w:sz w:val="24"/>
          <w:szCs w:val="24"/>
        </w:rPr>
        <w:t xml:space="preserve">Reporting of data should normally be presented in default units as they appear in the database (see sample units below). </w:t>
      </w:r>
      <w:r w:rsidR="00E849F1">
        <w:rPr>
          <w:rFonts w:ascii="Arial" w:eastAsia="Times New Roman" w:hAnsi="Arial" w:cs="Arial"/>
          <w:color w:val="212529"/>
          <w:sz w:val="24"/>
          <w:szCs w:val="24"/>
        </w:rPr>
        <w:t>W</w:t>
      </w:r>
      <w:r w:rsidRPr="000801EA">
        <w:rPr>
          <w:rFonts w:ascii="Arial" w:eastAsia="Times New Roman" w:hAnsi="Arial" w:cs="Arial"/>
          <w:color w:val="212529"/>
          <w:sz w:val="24"/>
          <w:szCs w:val="24"/>
        </w:rPr>
        <w:t xml:space="preserve">hen the client uses metric </w:t>
      </w:r>
      <w:r w:rsidR="00E849F1">
        <w:rPr>
          <w:rFonts w:ascii="Arial" w:eastAsia="Times New Roman" w:hAnsi="Arial" w:cs="Arial"/>
          <w:color w:val="212529"/>
          <w:sz w:val="24"/>
          <w:szCs w:val="24"/>
        </w:rPr>
        <w:t xml:space="preserve">units, they </w:t>
      </w:r>
      <w:r w:rsidRPr="000801EA">
        <w:rPr>
          <w:rFonts w:ascii="Arial" w:eastAsia="Times New Roman" w:hAnsi="Arial" w:cs="Arial"/>
          <w:color w:val="212529"/>
          <w:sz w:val="24"/>
          <w:szCs w:val="24"/>
        </w:rPr>
        <w:t>should be included in the report</w:t>
      </w:r>
      <w:r w:rsidR="00E849F1">
        <w:rPr>
          <w:rFonts w:ascii="Arial" w:eastAsia="Times New Roman" w:hAnsi="Arial" w:cs="Arial"/>
          <w:color w:val="212529"/>
          <w:sz w:val="24"/>
          <w:szCs w:val="24"/>
        </w:rPr>
        <w:t>,</w:t>
      </w:r>
      <w:r w:rsidRPr="000801EA">
        <w:rPr>
          <w:rFonts w:ascii="Arial" w:eastAsia="Times New Roman" w:hAnsi="Arial" w:cs="Arial"/>
          <w:color w:val="212529"/>
          <w:sz w:val="24"/>
          <w:szCs w:val="24"/>
        </w:rPr>
        <w:t xml:space="preserve"> but the default unit equivalent</w:t>
      </w:r>
      <w:r w:rsidR="00E849F1">
        <w:rPr>
          <w:rFonts w:ascii="Arial" w:eastAsia="Times New Roman" w:hAnsi="Arial" w:cs="Arial"/>
          <w:color w:val="212529"/>
          <w:sz w:val="24"/>
          <w:szCs w:val="24"/>
        </w:rPr>
        <w:t>s</w:t>
      </w:r>
      <w:r w:rsidRPr="000801EA">
        <w:rPr>
          <w:rFonts w:ascii="Arial" w:eastAsia="Times New Roman" w:hAnsi="Arial" w:cs="Arial"/>
          <w:color w:val="212529"/>
          <w:sz w:val="24"/>
          <w:szCs w:val="24"/>
        </w:rPr>
        <w:t xml:space="preserve"> </w:t>
      </w:r>
      <w:r w:rsidR="00E849F1">
        <w:rPr>
          <w:rFonts w:ascii="Arial" w:eastAsia="Times New Roman" w:hAnsi="Arial" w:cs="Arial"/>
          <w:color w:val="212529"/>
          <w:sz w:val="24"/>
          <w:szCs w:val="24"/>
        </w:rPr>
        <w:t xml:space="preserve">should be </w:t>
      </w:r>
      <w:r w:rsidRPr="000801EA">
        <w:rPr>
          <w:rFonts w:ascii="Arial" w:eastAsia="Times New Roman" w:hAnsi="Arial" w:cs="Arial"/>
          <w:color w:val="212529"/>
          <w:sz w:val="24"/>
          <w:szCs w:val="24"/>
        </w:rPr>
        <w:t>shown in parentheses.</w:t>
      </w:r>
    </w:p>
    <w:p w14:paraId="6EADB88C" w14:textId="77777777" w:rsidR="000801EA" w:rsidRPr="000801EA" w:rsidRDefault="000801EA" w:rsidP="00804598">
      <w:pPr>
        <w:numPr>
          <w:ilvl w:val="3"/>
          <w:numId w:val="3"/>
        </w:numPr>
        <w:shd w:val="clear" w:color="auto" w:fill="FFFFFF"/>
        <w:tabs>
          <w:tab w:val="clear" w:pos="2880"/>
          <w:tab w:val="num" w:pos="2160"/>
        </w:tabs>
        <w:spacing w:before="100" w:beforeAutospacing="1" w:after="0" w:line="240" w:lineRule="auto"/>
        <w:ind w:left="2250" w:hanging="450"/>
        <w:rPr>
          <w:rFonts w:ascii="Arial" w:eastAsia="Times New Roman" w:hAnsi="Arial" w:cs="Arial"/>
          <w:color w:val="212529"/>
          <w:sz w:val="24"/>
          <w:szCs w:val="24"/>
        </w:rPr>
      </w:pPr>
      <w:r w:rsidRPr="000801EA">
        <w:rPr>
          <w:rFonts w:ascii="Arial" w:eastAsia="Times New Roman" w:hAnsi="Arial" w:cs="Arial"/>
          <w:color w:val="212529"/>
          <w:sz w:val="24"/>
          <w:szCs w:val="24"/>
        </w:rPr>
        <w:t>Default Units:</w:t>
      </w:r>
    </w:p>
    <w:p w14:paraId="198DCDBF" w14:textId="77777777" w:rsidR="000801EA" w:rsidRPr="000801EA" w:rsidRDefault="000801EA" w:rsidP="00E66AE6">
      <w:pPr>
        <w:numPr>
          <w:ilvl w:val="4"/>
          <w:numId w:val="16"/>
        </w:numPr>
        <w:shd w:val="clear" w:color="auto" w:fill="FFFFFF"/>
        <w:tabs>
          <w:tab w:val="clear" w:pos="3600"/>
          <w:tab w:val="num"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Electricity Usage: kWh</w:t>
      </w:r>
    </w:p>
    <w:p w14:paraId="701AC7AA" w14:textId="77777777" w:rsidR="000801EA" w:rsidRPr="000801EA" w:rsidRDefault="000801EA" w:rsidP="00E66AE6">
      <w:pPr>
        <w:numPr>
          <w:ilvl w:val="4"/>
          <w:numId w:val="16"/>
        </w:numPr>
        <w:shd w:val="clear" w:color="auto" w:fill="FFFFFF"/>
        <w:tabs>
          <w:tab w:val="clear" w:pos="3600"/>
          <w:tab w:val="num"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Electricity Demand: kW</w:t>
      </w:r>
    </w:p>
    <w:p w14:paraId="4E6AB633" w14:textId="77777777" w:rsidR="000801EA" w:rsidRPr="000801EA" w:rsidRDefault="000801EA" w:rsidP="00E66AE6">
      <w:pPr>
        <w:numPr>
          <w:ilvl w:val="4"/>
          <w:numId w:val="16"/>
        </w:numPr>
        <w:shd w:val="clear" w:color="auto" w:fill="FFFFFF"/>
        <w:tabs>
          <w:tab w:val="clear" w:pos="3600"/>
          <w:tab w:val="num"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Natural Gas: MMBtu</w:t>
      </w:r>
    </w:p>
    <w:p w14:paraId="6EDC9CAA" w14:textId="77777777" w:rsidR="000801EA" w:rsidRPr="000801EA" w:rsidRDefault="000801EA" w:rsidP="00E66AE6">
      <w:pPr>
        <w:numPr>
          <w:ilvl w:val="4"/>
          <w:numId w:val="16"/>
        </w:numPr>
        <w:shd w:val="clear" w:color="auto" w:fill="FFFFFF"/>
        <w:tabs>
          <w:tab w:val="clear" w:pos="3600"/>
          <w:tab w:val="num"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Water: </w:t>
      </w:r>
      <w:proofErr w:type="spellStart"/>
      <w:r w:rsidRPr="000801EA">
        <w:rPr>
          <w:rFonts w:ascii="Arial" w:eastAsia="Times New Roman" w:hAnsi="Arial" w:cs="Arial"/>
          <w:color w:val="212529"/>
          <w:sz w:val="24"/>
          <w:szCs w:val="24"/>
        </w:rPr>
        <w:t>Tgal</w:t>
      </w:r>
      <w:proofErr w:type="spellEnd"/>
    </w:p>
    <w:p w14:paraId="2073134E" w14:textId="1C4764A6" w:rsidR="000801EA" w:rsidRDefault="000801EA" w:rsidP="00E849F1">
      <w:pPr>
        <w:pStyle w:val="ListParagraph"/>
        <w:numPr>
          <w:ilvl w:val="1"/>
          <w:numId w:val="15"/>
        </w:num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E849F1">
        <w:rPr>
          <w:rFonts w:ascii="Arial" w:eastAsia="Times New Roman" w:hAnsi="Arial" w:cs="Arial"/>
          <w:color w:val="212529"/>
          <w:sz w:val="24"/>
          <w:szCs w:val="24"/>
        </w:rPr>
        <w:t>Uploads to the database should always be in default database units.</w:t>
      </w:r>
    </w:p>
    <w:p w14:paraId="79ECEF45" w14:textId="77777777" w:rsidR="00DB67CA" w:rsidRDefault="00DB67CA" w:rsidP="00DB67CA">
      <w:pPr>
        <w:pStyle w:val="ListParagraph"/>
        <w:shd w:val="clear" w:color="auto" w:fill="FFFFFF"/>
        <w:spacing w:before="100" w:beforeAutospacing="1" w:after="100" w:afterAutospacing="1" w:line="240" w:lineRule="auto"/>
        <w:ind w:left="1800"/>
        <w:rPr>
          <w:rFonts w:ascii="Arial" w:eastAsia="Times New Roman" w:hAnsi="Arial" w:cs="Arial"/>
          <w:color w:val="212529"/>
          <w:sz w:val="24"/>
          <w:szCs w:val="24"/>
        </w:rPr>
      </w:pPr>
    </w:p>
    <w:p w14:paraId="35266041" w14:textId="754CD7F5" w:rsidR="00DB67CA" w:rsidRDefault="00527FC6" w:rsidP="00E849F1">
      <w:pPr>
        <w:pStyle w:val="ListParagraph"/>
        <w:numPr>
          <w:ilvl w:val="1"/>
          <w:numId w:val="15"/>
        </w:num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Pr>
          <w:rFonts w:ascii="Arial" w:eastAsia="Times New Roman" w:hAnsi="Arial" w:cs="Arial"/>
          <w:color w:val="212529"/>
          <w:sz w:val="24"/>
          <w:szCs w:val="24"/>
        </w:rPr>
        <w:t xml:space="preserve">To ensure consistency across reports and to maximize long-term value of report data, consult EERE’s </w:t>
      </w:r>
      <w:r w:rsidRPr="00527FC6">
        <w:rPr>
          <w:rFonts w:ascii="Arial" w:eastAsia="Times New Roman" w:hAnsi="Arial" w:cs="Arial"/>
          <w:color w:val="212529"/>
          <w:sz w:val="24"/>
          <w:szCs w:val="24"/>
        </w:rPr>
        <w:t>Building Energy Data Exchange Specification</w:t>
      </w:r>
      <w:r>
        <w:rPr>
          <w:rFonts w:ascii="Arial" w:eastAsia="Times New Roman" w:hAnsi="Arial" w:cs="Arial"/>
          <w:color w:val="212529"/>
          <w:sz w:val="24"/>
          <w:szCs w:val="24"/>
        </w:rPr>
        <w:t xml:space="preserve"> (BEDES)</w:t>
      </w:r>
      <w:r w:rsidR="00AC1862">
        <w:rPr>
          <w:rFonts w:ascii="Arial" w:eastAsia="Times New Roman" w:hAnsi="Arial" w:cs="Arial"/>
          <w:color w:val="212529"/>
          <w:sz w:val="24"/>
          <w:szCs w:val="24"/>
        </w:rPr>
        <w:t xml:space="preserve"> –</w:t>
      </w:r>
      <w:r w:rsidR="00AC1862" w:rsidRPr="00AC1862">
        <w:rPr>
          <w:rFonts w:ascii="Arial" w:eastAsia="Times New Roman" w:hAnsi="Arial" w:cs="Arial"/>
          <w:color w:val="212529"/>
          <w:sz w:val="24"/>
          <w:szCs w:val="24"/>
        </w:rPr>
        <w:t xml:space="preserve"> </w:t>
      </w:r>
      <w:hyperlink r:id="rId7" w:history="1">
        <w:r w:rsidR="00AC1862" w:rsidRPr="008F1F55">
          <w:rPr>
            <w:rStyle w:val="Hyperlink"/>
            <w:rFonts w:ascii="Arial" w:eastAsia="Times New Roman" w:hAnsi="Arial" w:cs="Arial"/>
            <w:sz w:val="24"/>
            <w:szCs w:val="24"/>
          </w:rPr>
          <w:t>https://bedes.lbl.gov/</w:t>
        </w:r>
      </w:hyperlink>
      <w:r w:rsidR="00AC1862">
        <w:rPr>
          <w:rFonts w:ascii="Arial" w:eastAsia="Times New Roman" w:hAnsi="Arial" w:cs="Arial"/>
          <w:color w:val="212529"/>
          <w:sz w:val="24"/>
          <w:szCs w:val="24"/>
        </w:rPr>
        <w:t xml:space="preserve">. </w:t>
      </w:r>
      <w:r>
        <w:rPr>
          <w:rFonts w:ascii="Arial" w:eastAsia="Times New Roman" w:hAnsi="Arial" w:cs="Arial"/>
          <w:color w:val="212529"/>
          <w:sz w:val="24"/>
          <w:szCs w:val="24"/>
        </w:rPr>
        <w:t xml:space="preserve"> </w:t>
      </w:r>
    </w:p>
    <w:p w14:paraId="76AC03B8" w14:textId="77777777" w:rsidR="00E849F1" w:rsidRDefault="00E849F1" w:rsidP="00E849F1">
      <w:pPr>
        <w:pStyle w:val="ListParagraph"/>
        <w:shd w:val="clear" w:color="auto" w:fill="FFFFFF"/>
        <w:spacing w:before="100" w:beforeAutospacing="1" w:after="100" w:afterAutospacing="1" w:line="240" w:lineRule="auto"/>
        <w:ind w:left="1800"/>
        <w:rPr>
          <w:rFonts w:ascii="Arial" w:eastAsia="Times New Roman" w:hAnsi="Arial" w:cs="Arial"/>
          <w:color w:val="212529"/>
          <w:sz w:val="24"/>
          <w:szCs w:val="24"/>
        </w:rPr>
      </w:pPr>
    </w:p>
    <w:p w14:paraId="79B86063" w14:textId="2F796076" w:rsidR="000801EA" w:rsidRPr="00E849F1" w:rsidRDefault="000801EA" w:rsidP="00E849F1">
      <w:pPr>
        <w:pStyle w:val="ListParagraph"/>
        <w:numPr>
          <w:ilvl w:val="1"/>
          <w:numId w:val="3"/>
        </w:numPr>
        <w:shd w:val="clear" w:color="auto" w:fill="FFFFFF"/>
        <w:tabs>
          <w:tab w:val="clear" w:pos="1440"/>
          <w:tab w:val="num" w:pos="990"/>
        </w:tabs>
        <w:spacing w:before="100" w:beforeAutospacing="1" w:after="100" w:afterAutospacing="1" w:line="240" w:lineRule="auto"/>
        <w:ind w:left="990" w:hanging="630"/>
        <w:rPr>
          <w:rFonts w:ascii="Arial" w:eastAsia="Times New Roman" w:hAnsi="Arial" w:cs="Arial"/>
          <w:color w:val="212529"/>
          <w:sz w:val="24"/>
          <w:szCs w:val="24"/>
        </w:rPr>
      </w:pPr>
      <w:r w:rsidRPr="00E849F1">
        <w:rPr>
          <w:rFonts w:ascii="Arial" w:eastAsia="Times New Roman" w:hAnsi="Arial" w:cs="Arial"/>
          <w:color w:val="212529"/>
          <w:sz w:val="24"/>
          <w:szCs w:val="24"/>
        </w:rPr>
        <w:t>Reports should be attractive</w:t>
      </w:r>
      <w:r w:rsidR="005C3A8F">
        <w:rPr>
          <w:rFonts w:ascii="Arial" w:eastAsia="Times New Roman" w:hAnsi="Arial" w:cs="Arial"/>
          <w:color w:val="212529"/>
          <w:sz w:val="24"/>
          <w:szCs w:val="24"/>
        </w:rPr>
        <w:t>, concise</w:t>
      </w:r>
      <w:r w:rsidRPr="00E849F1">
        <w:rPr>
          <w:rFonts w:ascii="Arial" w:eastAsia="Times New Roman" w:hAnsi="Arial" w:cs="Arial"/>
          <w:color w:val="212529"/>
          <w:sz w:val="24"/>
          <w:szCs w:val="24"/>
        </w:rPr>
        <w:t xml:space="preserve"> and professionally assembled in an easy to read format:</w:t>
      </w:r>
    </w:p>
    <w:p w14:paraId="08362A66" w14:textId="37AF85F8" w:rsidR="00FB21BB" w:rsidRPr="00FB21BB" w:rsidRDefault="00FB21BB" w:rsidP="00CC56E0">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Pr>
          <w:rFonts w:ascii="Arial" w:eastAsia="Times New Roman" w:hAnsi="Arial" w:cs="Arial"/>
          <w:color w:val="212529"/>
          <w:sz w:val="24"/>
          <w:szCs w:val="24"/>
        </w:rPr>
        <w:t>4.1</w:t>
      </w:r>
      <w:r>
        <w:rPr>
          <w:rFonts w:ascii="Arial" w:eastAsia="Times New Roman" w:hAnsi="Arial" w:cs="Arial"/>
          <w:color w:val="212529"/>
          <w:sz w:val="24"/>
          <w:szCs w:val="24"/>
        </w:rPr>
        <w:tab/>
      </w:r>
      <w:r w:rsidR="000801EA" w:rsidRPr="00FB21BB">
        <w:rPr>
          <w:rFonts w:ascii="Arial" w:eastAsia="Times New Roman" w:hAnsi="Arial" w:cs="Arial"/>
          <w:color w:val="212529"/>
          <w:sz w:val="24"/>
          <w:szCs w:val="24"/>
        </w:rPr>
        <w:t>All pages, tables and figures need to be numbered.</w:t>
      </w:r>
    </w:p>
    <w:p w14:paraId="6729FAD8" w14:textId="520FA3AF" w:rsidR="000801EA" w:rsidRPr="00FB21BB" w:rsidRDefault="00CC56E0" w:rsidP="00CC56E0">
      <w:pPr>
        <w:pStyle w:val="ListParagraph"/>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Pr>
          <w:rFonts w:ascii="Arial" w:eastAsia="Times New Roman" w:hAnsi="Arial" w:cs="Arial"/>
          <w:color w:val="212529"/>
          <w:sz w:val="24"/>
          <w:szCs w:val="24"/>
        </w:rPr>
        <w:t>4.2</w:t>
      </w:r>
      <w:r>
        <w:rPr>
          <w:rFonts w:ascii="Arial" w:eastAsia="Times New Roman" w:hAnsi="Arial" w:cs="Arial"/>
          <w:color w:val="212529"/>
          <w:sz w:val="24"/>
          <w:szCs w:val="24"/>
        </w:rPr>
        <w:tab/>
      </w:r>
      <w:r w:rsidR="000801EA" w:rsidRPr="00FB21BB">
        <w:rPr>
          <w:rFonts w:ascii="Arial" w:eastAsia="Times New Roman" w:hAnsi="Arial" w:cs="Arial"/>
          <w:color w:val="212529"/>
          <w:sz w:val="24"/>
          <w:szCs w:val="24"/>
        </w:rPr>
        <w:t>A footer with report number should be included on every page.</w:t>
      </w:r>
    </w:p>
    <w:p w14:paraId="50892BCD" w14:textId="35D00A00" w:rsidR="000801EA" w:rsidRPr="000801EA" w:rsidRDefault="000801EA" w:rsidP="00CC56E0">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4.3</w:t>
      </w:r>
      <w:r w:rsidR="00CC56E0">
        <w:rPr>
          <w:rFonts w:ascii="Arial" w:eastAsia="Times New Roman" w:hAnsi="Arial" w:cs="Arial"/>
          <w:color w:val="212529"/>
          <w:sz w:val="24"/>
          <w:szCs w:val="24"/>
        </w:rPr>
        <w:tab/>
      </w:r>
      <w:r w:rsidRPr="000801EA">
        <w:rPr>
          <w:rFonts w:ascii="Arial" w:eastAsia="Times New Roman" w:hAnsi="Arial" w:cs="Arial"/>
          <w:color w:val="212529"/>
          <w:sz w:val="24"/>
          <w:szCs w:val="24"/>
        </w:rPr>
        <w:t>All data used in reports must be sourced from one of the following areas:</w:t>
      </w:r>
    </w:p>
    <w:p w14:paraId="39623090" w14:textId="77777777" w:rsidR="000801EA" w:rsidRPr="000801EA" w:rsidRDefault="000801EA" w:rsidP="00CC56E0">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lastRenderedPageBreak/>
        <w:t>Measured during assessment</w:t>
      </w:r>
    </w:p>
    <w:p w14:paraId="06EDDD08" w14:textId="77777777" w:rsidR="000801EA" w:rsidRPr="000801EA" w:rsidRDefault="000801EA" w:rsidP="00CC56E0">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Vendor spec sheet</w:t>
      </w:r>
    </w:p>
    <w:p w14:paraId="6E4531C7" w14:textId="2E39AC50" w:rsidR="000801EA" w:rsidRPr="000801EA" w:rsidRDefault="000801EA" w:rsidP="00CC56E0">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Industry</w:t>
      </w:r>
      <w:r w:rsidR="00CC56E0">
        <w:rPr>
          <w:rFonts w:ascii="Arial" w:eastAsia="Times New Roman" w:hAnsi="Arial" w:cs="Arial"/>
          <w:color w:val="212529"/>
          <w:sz w:val="24"/>
          <w:szCs w:val="24"/>
        </w:rPr>
        <w:t xml:space="preserve">/equipment </w:t>
      </w:r>
      <w:r w:rsidRPr="000801EA">
        <w:rPr>
          <w:rFonts w:ascii="Arial" w:eastAsia="Times New Roman" w:hAnsi="Arial" w:cs="Arial"/>
          <w:color w:val="212529"/>
          <w:sz w:val="24"/>
          <w:szCs w:val="24"/>
        </w:rPr>
        <w:t>standard value</w:t>
      </w:r>
    </w:p>
    <w:p w14:paraId="6F939022" w14:textId="77777777" w:rsidR="000801EA" w:rsidRPr="000801EA" w:rsidRDefault="000801EA" w:rsidP="00CC56E0">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Client provided</w:t>
      </w:r>
    </w:p>
    <w:p w14:paraId="0B0D5779" w14:textId="1C958008" w:rsidR="000801EA" w:rsidRDefault="00CC56E0" w:rsidP="00CC56E0">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Pr>
          <w:rFonts w:ascii="Arial" w:eastAsia="Times New Roman" w:hAnsi="Arial" w:cs="Arial"/>
          <w:color w:val="212529"/>
          <w:sz w:val="24"/>
          <w:szCs w:val="24"/>
        </w:rPr>
        <w:t xml:space="preserve">Calculation based on a </w:t>
      </w:r>
      <w:r w:rsidR="000801EA" w:rsidRPr="000801EA">
        <w:rPr>
          <w:rFonts w:ascii="Arial" w:eastAsia="Times New Roman" w:hAnsi="Arial" w:cs="Arial"/>
          <w:color w:val="212529"/>
          <w:sz w:val="24"/>
          <w:szCs w:val="24"/>
        </w:rPr>
        <w:t>clearly referenced and reliable source</w:t>
      </w:r>
    </w:p>
    <w:p w14:paraId="19E17ED2" w14:textId="1F61BEA8" w:rsidR="000801EA" w:rsidRPr="00CC56E0" w:rsidRDefault="00CC56E0" w:rsidP="00CC56E0">
      <w:pPr>
        <w:shd w:val="clear" w:color="auto" w:fill="FFFFFF"/>
        <w:spacing w:before="100" w:beforeAutospacing="1" w:after="100" w:afterAutospacing="1" w:line="240" w:lineRule="auto"/>
        <w:ind w:left="1080" w:hanging="720"/>
        <w:rPr>
          <w:rFonts w:ascii="Arial" w:eastAsia="Times New Roman" w:hAnsi="Arial" w:cs="Arial"/>
          <w:color w:val="212529"/>
          <w:sz w:val="24"/>
          <w:szCs w:val="24"/>
        </w:rPr>
      </w:pPr>
      <w:r w:rsidRPr="00CC56E0">
        <w:rPr>
          <w:rFonts w:ascii="Arial" w:eastAsia="Times New Roman" w:hAnsi="Arial" w:cs="Arial"/>
          <w:color w:val="212529"/>
          <w:sz w:val="24"/>
          <w:szCs w:val="24"/>
        </w:rPr>
        <w:t>5.</w:t>
      </w:r>
      <w:r>
        <w:rPr>
          <w:rFonts w:ascii="Arial" w:eastAsia="Times New Roman" w:hAnsi="Arial" w:cs="Arial"/>
          <w:color w:val="212529"/>
          <w:sz w:val="24"/>
          <w:szCs w:val="24"/>
        </w:rPr>
        <w:tab/>
      </w:r>
      <w:r w:rsidR="000801EA" w:rsidRPr="00CC56E0">
        <w:rPr>
          <w:rFonts w:ascii="Arial" w:eastAsia="Times New Roman" w:hAnsi="Arial" w:cs="Arial"/>
          <w:color w:val="212529"/>
          <w:sz w:val="24"/>
          <w:szCs w:val="24"/>
        </w:rPr>
        <w:t xml:space="preserve">Useful </w:t>
      </w:r>
      <w:r>
        <w:rPr>
          <w:rFonts w:ascii="Arial" w:eastAsia="Times New Roman" w:hAnsi="Arial" w:cs="Arial"/>
          <w:color w:val="212529"/>
          <w:sz w:val="24"/>
          <w:szCs w:val="24"/>
        </w:rPr>
        <w:t xml:space="preserve">building </w:t>
      </w:r>
      <w:r w:rsidR="000801EA" w:rsidRPr="00CC56E0">
        <w:rPr>
          <w:rFonts w:ascii="Arial" w:eastAsia="Times New Roman" w:hAnsi="Arial" w:cs="Arial"/>
          <w:color w:val="212529"/>
          <w:sz w:val="24"/>
          <w:szCs w:val="24"/>
        </w:rPr>
        <w:t>assessment reports of acceptable quality are expected to include the following:</w:t>
      </w:r>
    </w:p>
    <w:p w14:paraId="7ACB0B2A" w14:textId="481986D4" w:rsidR="000801EA" w:rsidRPr="000801EA" w:rsidRDefault="000801EA" w:rsidP="00526839">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5.1</w:t>
      </w:r>
      <w:r w:rsidR="00526839">
        <w:rPr>
          <w:rFonts w:ascii="Arial" w:eastAsia="Times New Roman" w:hAnsi="Arial" w:cs="Arial"/>
          <w:color w:val="212529"/>
          <w:sz w:val="24"/>
          <w:szCs w:val="24"/>
        </w:rPr>
        <w:tab/>
      </w:r>
      <w:r w:rsidRPr="00526839">
        <w:rPr>
          <w:rFonts w:ascii="Arial" w:eastAsia="Times New Roman" w:hAnsi="Arial" w:cs="Arial"/>
          <w:color w:val="212529"/>
          <w:sz w:val="24"/>
          <w:szCs w:val="24"/>
          <w:u w:val="single"/>
        </w:rPr>
        <w:t>Cover Page</w:t>
      </w:r>
    </w:p>
    <w:p w14:paraId="5A783208" w14:textId="77777777" w:rsidR="000801EA" w:rsidRPr="000801EA" w:rsidRDefault="000801EA" w:rsidP="00526839">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Report Number</w:t>
      </w:r>
    </w:p>
    <w:p w14:paraId="50244CC6" w14:textId="04A9EDEC" w:rsidR="000801EA" w:rsidRPr="000801EA" w:rsidRDefault="000801EA" w:rsidP="00526839">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Date of </w:t>
      </w:r>
      <w:r w:rsidR="002E7016">
        <w:rPr>
          <w:rFonts w:ascii="Arial" w:eastAsia="Times New Roman" w:hAnsi="Arial" w:cs="Arial"/>
          <w:color w:val="212529"/>
          <w:sz w:val="24"/>
          <w:szCs w:val="24"/>
        </w:rPr>
        <w:t>a</w:t>
      </w:r>
      <w:r w:rsidRPr="000801EA">
        <w:rPr>
          <w:rFonts w:ascii="Arial" w:eastAsia="Times New Roman" w:hAnsi="Arial" w:cs="Arial"/>
          <w:color w:val="212529"/>
          <w:sz w:val="24"/>
          <w:szCs w:val="24"/>
        </w:rPr>
        <w:t>ssessment</w:t>
      </w:r>
    </w:p>
    <w:p w14:paraId="1BA2290A" w14:textId="2F43EC52" w:rsidR="000801EA" w:rsidRPr="000801EA" w:rsidRDefault="000801EA" w:rsidP="00526839">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School </w:t>
      </w:r>
      <w:r w:rsidR="002E7016">
        <w:rPr>
          <w:rFonts w:ascii="Arial" w:eastAsia="Times New Roman" w:hAnsi="Arial" w:cs="Arial"/>
          <w:color w:val="212529"/>
          <w:sz w:val="24"/>
          <w:szCs w:val="24"/>
        </w:rPr>
        <w:t>l</w:t>
      </w:r>
      <w:r w:rsidRPr="000801EA">
        <w:rPr>
          <w:rFonts w:ascii="Arial" w:eastAsia="Times New Roman" w:hAnsi="Arial" w:cs="Arial"/>
          <w:color w:val="212529"/>
          <w:sz w:val="24"/>
          <w:szCs w:val="24"/>
        </w:rPr>
        <w:t xml:space="preserve">ogo, IAC </w:t>
      </w:r>
      <w:r w:rsidR="002E7016">
        <w:rPr>
          <w:rFonts w:ascii="Arial" w:eastAsia="Times New Roman" w:hAnsi="Arial" w:cs="Arial"/>
          <w:color w:val="212529"/>
          <w:sz w:val="24"/>
          <w:szCs w:val="24"/>
        </w:rPr>
        <w:t>l</w:t>
      </w:r>
      <w:r w:rsidRPr="000801EA">
        <w:rPr>
          <w:rFonts w:ascii="Arial" w:eastAsia="Times New Roman" w:hAnsi="Arial" w:cs="Arial"/>
          <w:color w:val="212529"/>
          <w:sz w:val="24"/>
          <w:szCs w:val="24"/>
        </w:rPr>
        <w:t>ogo and DOE logo</w:t>
      </w:r>
    </w:p>
    <w:p w14:paraId="370D27B2" w14:textId="77777777" w:rsidR="000801EA" w:rsidRPr="000801EA" w:rsidRDefault="000801EA" w:rsidP="00526839">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Contact information</w:t>
      </w:r>
    </w:p>
    <w:p w14:paraId="0EB8A0F3" w14:textId="77777777" w:rsidR="000801EA" w:rsidRPr="000801EA" w:rsidRDefault="000801EA" w:rsidP="00526839">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Names of the members assessment team</w:t>
      </w:r>
    </w:p>
    <w:p w14:paraId="5C03301D" w14:textId="50DC2263" w:rsidR="000801EA" w:rsidRPr="000801EA" w:rsidRDefault="000801EA" w:rsidP="00526839">
      <w:pPr>
        <w:numPr>
          <w:ilvl w:val="4"/>
          <w:numId w:val="3"/>
        </w:numPr>
        <w:shd w:val="clear" w:color="auto" w:fill="FFFFFF"/>
        <w:tabs>
          <w:tab w:val="clear" w:pos="3600"/>
          <w:tab w:val="num"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Faculty</w:t>
      </w:r>
      <w:r w:rsidR="00526839">
        <w:rPr>
          <w:rFonts w:ascii="Arial" w:eastAsia="Times New Roman" w:hAnsi="Arial" w:cs="Arial"/>
          <w:color w:val="212529"/>
          <w:sz w:val="24"/>
          <w:szCs w:val="24"/>
        </w:rPr>
        <w:t xml:space="preserve"> </w:t>
      </w:r>
      <w:r w:rsidRPr="000801EA">
        <w:rPr>
          <w:rFonts w:ascii="Arial" w:eastAsia="Times New Roman" w:hAnsi="Arial" w:cs="Arial"/>
          <w:color w:val="212529"/>
          <w:sz w:val="24"/>
          <w:szCs w:val="24"/>
        </w:rPr>
        <w:t>or students who worked on a report but did not attend the site visit should not be included.</w:t>
      </w:r>
    </w:p>
    <w:p w14:paraId="0159BE54" w14:textId="77777777" w:rsidR="000801EA" w:rsidRPr="000801EA" w:rsidRDefault="000801EA" w:rsidP="00526839">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No other organization (vendor, utility, nonprofit) may display their logo on the cover page unless they have contributed financially to the assessment. They may be acknowledged within the report for their support.</w:t>
      </w:r>
    </w:p>
    <w:p w14:paraId="6AE73E4E" w14:textId="422BB6D9" w:rsidR="000801EA" w:rsidRPr="000801EA" w:rsidRDefault="000801EA" w:rsidP="00526839">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5.2</w:t>
      </w:r>
      <w:r w:rsidR="00526839">
        <w:rPr>
          <w:rFonts w:ascii="Arial" w:eastAsia="Times New Roman" w:hAnsi="Arial" w:cs="Arial"/>
          <w:color w:val="212529"/>
          <w:sz w:val="24"/>
          <w:szCs w:val="24"/>
        </w:rPr>
        <w:tab/>
      </w:r>
      <w:r w:rsidRPr="00526839">
        <w:rPr>
          <w:rFonts w:ascii="Arial" w:eastAsia="Times New Roman" w:hAnsi="Arial" w:cs="Arial"/>
          <w:color w:val="212529"/>
          <w:sz w:val="24"/>
          <w:szCs w:val="24"/>
          <w:u w:val="single"/>
        </w:rPr>
        <w:t>Disclaimer</w:t>
      </w:r>
    </w:p>
    <w:p w14:paraId="444E3378" w14:textId="77777777" w:rsidR="000801EA" w:rsidRPr="000801EA" w:rsidRDefault="000801EA" w:rsidP="00DF6703">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The disclaimer should indicate that we only warranty our best effort and not the data or recommendations included in the report.</w:t>
      </w:r>
    </w:p>
    <w:p w14:paraId="07194EA6" w14:textId="5E78412B" w:rsidR="000801EA" w:rsidRPr="000801EA" w:rsidRDefault="000801EA" w:rsidP="00DF6703">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5.3</w:t>
      </w:r>
      <w:r w:rsidR="00DF6703">
        <w:rPr>
          <w:rFonts w:ascii="Arial" w:eastAsia="Times New Roman" w:hAnsi="Arial" w:cs="Arial"/>
          <w:color w:val="212529"/>
          <w:sz w:val="24"/>
          <w:szCs w:val="24"/>
        </w:rPr>
        <w:tab/>
      </w:r>
      <w:r w:rsidRPr="00DF6703">
        <w:rPr>
          <w:rFonts w:ascii="Arial" w:eastAsia="Times New Roman" w:hAnsi="Arial" w:cs="Arial"/>
          <w:color w:val="212529"/>
          <w:sz w:val="24"/>
          <w:szCs w:val="24"/>
          <w:u w:val="single"/>
        </w:rPr>
        <w:t>Preface</w:t>
      </w:r>
    </w:p>
    <w:p w14:paraId="70EAF7CA" w14:textId="6D3EBF77" w:rsidR="000801EA" w:rsidRPr="000801EA" w:rsidRDefault="000801EA" w:rsidP="00DF6703">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The preface summarizes and explains the IAC program and </w:t>
      </w:r>
      <w:r w:rsidR="00226ED1">
        <w:rPr>
          <w:rFonts w:ascii="Arial" w:eastAsia="Times New Roman" w:hAnsi="Arial" w:cs="Arial"/>
          <w:color w:val="212529"/>
          <w:sz w:val="24"/>
          <w:szCs w:val="24"/>
        </w:rPr>
        <w:t xml:space="preserve">building </w:t>
      </w:r>
      <w:r w:rsidRPr="000801EA">
        <w:rPr>
          <w:rFonts w:ascii="Arial" w:eastAsia="Times New Roman" w:hAnsi="Arial" w:cs="Arial"/>
          <w:color w:val="212529"/>
          <w:sz w:val="24"/>
          <w:szCs w:val="24"/>
        </w:rPr>
        <w:t>assessment. It should acknowledge the DOE, the involvement of students, and the limitations of a one-day assessment.</w:t>
      </w:r>
    </w:p>
    <w:p w14:paraId="0130F726" w14:textId="49938A26" w:rsidR="000801EA" w:rsidRPr="000801EA" w:rsidRDefault="000801EA" w:rsidP="002E7016">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5.4</w:t>
      </w:r>
      <w:r w:rsidR="002E7016">
        <w:rPr>
          <w:rFonts w:ascii="Arial" w:eastAsia="Times New Roman" w:hAnsi="Arial" w:cs="Arial"/>
          <w:color w:val="212529"/>
          <w:sz w:val="24"/>
          <w:szCs w:val="24"/>
        </w:rPr>
        <w:tab/>
      </w:r>
      <w:r w:rsidRPr="002E7016">
        <w:rPr>
          <w:rFonts w:ascii="Arial" w:eastAsia="Times New Roman" w:hAnsi="Arial" w:cs="Arial"/>
          <w:color w:val="212529"/>
          <w:sz w:val="24"/>
          <w:szCs w:val="24"/>
          <w:u w:val="single"/>
        </w:rPr>
        <w:t xml:space="preserve">Table </w:t>
      </w:r>
      <w:r w:rsidR="002E7016">
        <w:rPr>
          <w:rFonts w:ascii="Arial" w:eastAsia="Times New Roman" w:hAnsi="Arial" w:cs="Arial"/>
          <w:color w:val="212529"/>
          <w:sz w:val="24"/>
          <w:szCs w:val="24"/>
          <w:u w:val="single"/>
        </w:rPr>
        <w:t>o</w:t>
      </w:r>
      <w:r w:rsidRPr="002E7016">
        <w:rPr>
          <w:rFonts w:ascii="Arial" w:eastAsia="Times New Roman" w:hAnsi="Arial" w:cs="Arial"/>
          <w:color w:val="212529"/>
          <w:sz w:val="24"/>
          <w:szCs w:val="24"/>
          <w:u w:val="single"/>
        </w:rPr>
        <w:t>f Contents</w:t>
      </w:r>
    </w:p>
    <w:p w14:paraId="4E861C89" w14:textId="680B956A" w:rsidR="000801EA" w:rsidRPr="00697BE5" w:rsidRDefault="000801EA" w:rsidP="00697BE5">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5.5</w:t>
      </w:r>
      <w:r w:rsidR="00697BE5">
        <w:rPr>
          <w:rFonts w:ascii="Arial" w:eastAsia="Times New Roman" w:hAnsi="Arial" w:cs="Arial"/>
          <w:color w:val="212529"/>
          <w:sz w:val="24"/>
          <w:szCs w:val="24"/>
        </w:rPr>
        <w:tab/>
      </w:r>
      <w:r w:rsidRPr="00697BE5">
        <w:rPr>
          <w:rFonts w:ascii="Arial" w:eastAsia="Times New Roman" w:hAnsi="Arial" w:cs="Arial"/>
          <w:color w:val="212529"/>
          <w:sz w:val="24"/>
          <w:szCs w:val="24"/>
          <w:u w:val="single"/>
        </w:rPr>
        <w:t>Executive Summary</w:t>
      </w:r>
    </w:p>
    <w:p w14:paraId="0A01824D" w14:textId="77777777" w:rsidR="000801EA" w:rsidRPr="000801EA" w:rsidRDefault="000801EA" w:rsidP="00F24163">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The executive summary should include an overall summary of the assessment and relevant descriptive data. In addition, a summary of the assessment recommendations should be included. It should list the title and value of dollars and resources saved for each assessment recommendation, as well as a brief description of the conservation potential found.</w:t>
      </w:r>
    </w:p>
    <w:p w14:paraId="76F06A55" w14:textId="7C166399" w:rsidR="000801EA" w:rsidRPr="000801EA" w:rsidRDefault="000801EA" w:rsidP="00697BE5">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5.6</w:t>
      </w:r>
      <w:r w:rsidR="00697BE5">
        <w:rPr>
          <w:rFonts w:ascii="Arial" w:eastAsia="Times New Roman" w:hAnsi="Arial" w:cs="Arial"/>
          <w:color w:val="212529"/>
          <w:sz w:val="24"/>
          <w:szCs w:val="24"/>
        </w:rPr>
        <w:tab/>
      </w:r>
      <w:r w:rsidR="00697BE5" w:rsidRPr="00697BE5">
        <w:rPr>
          <w:rFonts w:ascii="Arial" w:eastAsia="Times New Roman" w:hAnsi="Arial" w:cs="Arial"/>
          <w:color w:val="212529"/>
          <w:sz w:val="24"/>
          <w:szCs w:val="24"/>
          <w:u w:val="single"/>
        </w:rPr>
        <w:t xml:space="preserve">Building </w:t>
      </w:r>
      <w:r w:rsidRPr="00697BE5">
        <w:rPr>
          <w:rFonts w:ascii="Arial" w:eastAsia="Times New Roman" w:hAnsi="Arial" w:cs="Arial"/>
          <w:color w:val="212529"/>
          <w:sz w:val="24"/>
          <w:szCs w:val="24"/>
          <w:u w:val="single"/>
        </w:rPr>
        <w:t>Description</w:t>
      </w:r>
    </w:p>
    <w:p w14:paraId="002C3F16" w14:textId="23BACA57" w:rsidR="000801EA" w:rsidRPr="000801EA" w:rsidRDefault="000801EA" w:rsidP="00ED4874">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lastRenderedPageBreak/>
        <w:t xml:space="preserve">Contains the </w:t>
      </w:r>
      <w:r w:rsidR="00697BE5">
        <w:rPr>
          <w:rFonts w:ascii="Arial" w:eastAsia="Times New Roman" w:hAnsi="Arial" w:cs="Arial"/>
          <w:color w:val="212529"/>
          <w:sz w:val="24"/>
          <w:szCs w:val="24"/>
        </w:rPr>
        <w:t xml:space="preserve">building </w:t>
      </w:r>
      <w:r w:rsidRPr="000801EA">
        <w:rPr>
          <w:rFonts w:ascii="Arial" w:eastAsia="Times New Roman" w:hAnsi="Arial" w:cs="Arial"/>
          <w:color w:val="212529"/>
          <w:sz w:val="24"/>
          <w:szCs w:val="24"/>
        </w:rPr>
        <w:t>size, a general layout, the building(s)  construct</w:t>
      </w:r>
      <w:r w:rsidR="005C3A8F">
        <w:rPr>
          <w:rFonts w:ascii="Arial" w:eastAsia="Times New Roman" w:hAnsi="Arial" w:cs="Arial"/>
          <w:color w:val="212529"/>
          <w:sz w:val="24"/>
          <w:szCs w:val="24"/>
        </w:rPr>
        <w:t>ion and assessed envelope condition including windows, doors, roof</w:t>
      </w:r>
      <w:r w:rsidR="005C3FD9">
        <w:rPr>
          <w:rFonts w:ascii="Arial" w:eastAsia="Times New Roman" w:hAnsi="Arial" w:cs="Arial"/>
          <w:color w:val="212529"/>
          <w:sz w:val="24"/>
          <w:szCs w:val="24"/>
        </w:rPr>
        <w:t>,</w:t>
      </w:r>
      <w:r w:rsidR="005C3A8F">
        <w:rPr>
          <w:rFonts w:ascii="Arial" w:eastAsia="Times New Roman" w:hAnsi="Arial" w:cs="Arial"/>
          <w:color w:val="212529"/>
          <w:sz w:val="24"/>
          <w:szCs w:val="24"/>
        </w:rPr>
        <w:t xml:space="preserve"> as well as other functional </w:t>
      </w:r>
      <w:r w:rsidR="002B3B04">
        <w:rPr>
          <w:rFonts w:ascii="Arial" w:eastAsia="Times New Roman" w:hAnsi="Arial" w:cs="Arial"/>
          <w:color w:val="212529"/>
          <w:sz w:val="24"/>
          <w:szCs w:val="24"/>
        </w:rPr>
        <w:t xml:space="preserve">components of the building (e.g., utility rooms, servers, </w:t>
      </w:r>
      <w:r w:rsidRPr="000801EA">
        <w:rPr>
          <w:rFonts w:ascii="Arial" w:eastAsia="Times New Roman" w:hAnsi="Arial" w:cs="Arial"/>
          <w:color w:val="212529"/>
          <w:sz w:val="24"/>
          <w:szCs w:val="24"/>
        </w:rPr>
        <w:t>offices</w:t>
      </w:r>
      <w:r w:rsidR="002B3B04">
        <w:rPr>
          <w:rFonts w:ascii="Arial" w:eastAsia="Times New Roman" w:hAnsi="Arial" w:cs="Arial"/>
          <w:color w:val="212529"/>
          <w:sz w:val="24"/>
          <w:szCs w:val="24"/>
        </w:rPr>
        <w:t>, restrooms and kitchens, storage, warehouse space, common areas)</w:t>
      </w:r>
      <w:r w:rsidRPr="000801EA">
        <w:rPr>
          <w:rFonts w:ascii="Arial" w:eastAsia="Times New Roman" w:hAnsi="Arial" w:cs="Arial"/>
          <w:color w:val="212529"/>
          <w:sz w:val="24"/>
          <w:szCs w:val="24"/>
        </w:rPr>
        <w:t xml:space="preserve"> </w:t>
      </w:r>
      <w:r w:rsidR="005C3A8F">
        <w:rPr>
          <w:rFonts w:ascii="Arial" w:eastAsia="Times New Roman" w:hAnsi="Arial" w:cs="Arial"/>
          <w:color w:val="212529"/>
          <w:sz w:val="24"/>
          <w:szCs w:val="24"/>
        </w:rPr>
        <w:t xml:space="preserve">and where they </w:t>
      </w:r>
      <w:r w:rsidRPr="000801EA">
        <w:rPr>
          <w:rFonts w:ascii="Arial" w:eastAsia="Times New Roman" w:hAnsi="Arial" w:cs="Arial"/>
          <w:color w:val="212529"/>
          <w:sz w:val="24"/>
          <w:szCs w:val="24"/>
        </w:rPr>
        <w:t>are located.</w:t>
      </w:r>
    </w:p>
    <w:p w14:paraId="3C7CDA60" w14:textId="6684A537" w:rsidR="000801EA" w:rsidRPr="000801EA" w:rsidRDefault="000801EA" w:rsidP="00ED4874">
      <w:pPr>
        <w:numPr>
          <w:ilvl w:val="4"/>
          <w:numId w:val="3"/>
        </w:numPr>
        <w:shd w:val="clear" w:color="auto" w:fill="FFFFFF"/>
        <w:tabs>
          <w:tab w:val="clear" w:pos="3600"/>
          <w:tab w:val="num"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Include the client's zip code, number of employees, operating hours, and a summary of annual </w:t>
      </w:r>
      <w:r w:rsidR="00E66AE6">
        <w:rPr>
          <w:rFonts w:ascii="Arial" w:eastAsia="Times New Roman" w:hAnsi="Arial" w:cs="Arial"/>
          <w:color w:val="212529"/>
          <w:sz w:val="24"/>
          <w:szCs w:val="24"/>
        </w:rPr>
        <w:t xml:space="preserve">energy and water </w:t>
      </w:r>
      <w:r w:rsidRPr="000801EA">
        <w:rPr>
          <w:rFonts w:ascii="Arial" w:eastAsia="Times New Roman" w:hAnsi="Arial" w:cs="Arial"/>
          <w:color w:val="212529"/>
          <w:sz w:val="24"/>
          <w:szCs w:val="24"/>
        </w:rPr>
        <w:t>use.</w:t>
      </w:r>
    </w:p>
    <w:p w14:paraId="755C09D2" w14:textId="401CE322" w:rsidR="000801EA" w:rsidRPr="000801EA" w:rsidRDefault="000801EA" w:rsidP="00E66AE6">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w:t>
      </w:r>
      <w:r w:rsidR="00E14D4B">
        <w:rPr>
          <w:rFonts w:ascii="Arial" w:eastAsia="Times New Roman" w:hAnsi="Arial" w:cs="Arial"/>
          <w:color w:val="212529"/>
          <w:sz w:val="24"/>
          <w:szCs w:val="24"/>
        </w:rPr>
        <w:t>7</w:t>
      </w:r>
      <w:r w:rsidR="00E66AE6">
        <w:rPr>
          <w:rFonts w:ascii="Arial" w:eastAsia="Times New Roman" w:hAnsi="Arial" w:cs="Arial"/>
          <w:color w:val="212529"/>
          <w:sz w:val="24"/>
          <w:szCs w:val="24"/>
        </w:rPr>
        <w:tab/>
      </w:r>
      <w:r w:rsidRPr="00E66AE6">
        <w:rPr>
          <w:rFonts w:ascii="Arial" w:eastAsia="Times New Roman" w:hAnsi="Arial" w:cs="Arial"/>
          <w:color w:val="212529"/>
          <w:sz w:val="24"/>
          <w:szCs w:val="24"/>
          <w:u w:val="single"/>
        </w:rPr>
        <w:t>Best Practices</w:t>
      </w:r>
    </w:p>
    <w:p w14:paraId="66F1AB35" w14:textId="50912D69" w:rsidR="000801EA" w:rsidRPr="000801EA" w:rsidRDefault="000801EA" w:rsidP="00ED4874">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The best practices section should briefly describe specific practices observed during the visit the IAC team encourages the client to continue.</w:t>
      </w:r>
    </w:p>
    <w:p w14:paraId="5E704D5A" w14:textId="77777777" w:rsidR="000801EA" w:rsidRPr="000801EA" w:rsidRDefault="000801EA" w:rsidP="00ED4874">
      <w:pPr>
        <w:numPr>
          <w:ilvl w:val="4"/>
          <w:numId w:val="3"/>
        </w:numPr>
        <w:shd w:val="clear" w:color="auto" w:fill="FFFFFF"/>
        <w:tabs>
          <w:tab w:val="clear" w:pos="3600"/>
          <w:tab w:val="left"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Must be included on every report.</w:t>
      </w:r>
    </w:p>
    <w:p w14:paraId="1554577B" w14:textId="7BC9454A" w:rsidR="000801EA" w:rsidRPr="000801EA" w:rsidRDefault="000801EA" w:rsidP="00B045D1">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w:t>
      </w:r>
      <w:r w:rsidR="00E14D4B">
        <w:rPr>
          <w:rFonts w:ascii="Arial" w:eastAsia="Times New Roman" w:hAnsi="Arial" w:cs="Arial"/>
          <w:color w:val="212529"/>
          <w:sz w:val="24"/>
          <w:szCs w:val="24"/>
        </w:rPr>
        <w:t>8</w:t>
      </w:r>
      <w:r w:rsidR="00E14D4B">
        <w:rPr>
          <w:rFonts w:ascii="Arial" w:eastAsia="Times New Roman" w:hAnsi="Arial" w:cs="Arial"/>
          <w:color w:val="212529"/>
          <w:sz w:val="24"/>
          <w:szCs w:val="24"/>
        </w:rPr>
        <w:tab/>
      </w:r>
      <w:r w:rsidRPr="00B045D1">
        <w:rPr>
          <w:rFonts w:ascii="Arial" w:eastAsia="Times New Roman" w:hAnsi="Arial" w:cs="Arial"/>
          <w:color w:val="212529"/>
          <w:sz w:val="24"/>
          <w:szCs w:val="24"/>
          <w:u w:val="single"/>
        </w:rPr>
        <w:t>Energy Cost Analysis</w:t>
      </w:r>
    </w:p>
    <w:p w14:paraId="5FACBEBB" w14:textId="3B9D472E" w:rsidR="000801EA" w:rsidRPr="000801EA" w:rsidRDefault="000801EA" w:rsidP="00ED4874">
      <w:pPr>
        <w:numPr>
          <w:ilvl w:val="3"/>
          <w:numId w:val="3"/>
        </w:numPr>
        <w:shd w:val="clear" w:color="auto" w:fill="FFFFFF"/>
        <w:tabs>
          <w:tab w:val="clear" w:pos="2880"/>
          <w:tab w:val="num" w:pos="216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Should include electrical usage, natural gas usage, fuel oil, and, if applicable, water or sewer data</w:t>
      </w:r>
      <w:r w:rsidR="005C3A8F">
        <w:rPr>
          <w:rFonts w:ascii="Arial" w:eastAsia="Times New Roman" w:hAnsi="Arial" w:cs="Arial"/>
          <w:color w:val="212529"/>
          <w:sz w:val="24"/>
          <w:szCs w:val="24"/>
        </w:rPr>
        <w:t xml:space="preserve"> including costs related to energy and demand</w:t>
      </w:r>
      <w:r w:rsidRPr="000801EA">
        <w:rPr>
          <w:rFonts w:ascii="Arial" w:eastAsia="Times New Roman" w:hAnsi="Arial" w:cs="Arial"/>
          <w:color w:val="212529"/>
          <w:sz w:val="24"/>
          <w:szCs w:val="24"/>
        </w:rPr>
        <w:t>. Other types of energy, i.e. propane, should also be included if they are deemed significant. The energy data should be presented in an easy to read, graphical format</w:t>
      </w:r>
      <w:r w:rsidR="00B3668A">
        <w:rPr>
          <w:rFonts w:ascii="Arial" w:eastAsia="Times New Roman" w:hAnsi="Arial" w:cs="Arial"/>
          <w:color w:val="212529"/>
          <w:sz w:val="24"/>
          <w:szCs w:val="24"/>
        </w:rPr>
        <w:t xml:space="preserve"> (</w:t>
      </w:r>
      <w:r w:rsidRPr="000801EA">
        <w:rPr>
          <w:rFonts w:ascii="Arial" w:eastAsia="Times New Roman" w:hAnsi="Arial" w:cs="Arial"/>
          <w:color w:val="212529"/>
          <w:sz w:val="24"/>
          <w:szCs w:val="24"/>
        </w:rPr>
        <w:t>e.</w:t>
      </w:r>
      <w:r w:rsidR="00B3668A">
        <w:rPr>
          <w:rFonts w:ascii="Arial" w:eastAsia="Times New Roman" w:hAnsi="Arial" w:cs="Arial"/>
          <w:color w:val="212529"/>
          <w:sz w:val="24"/>
          <w:szCs w:val="24"/>
        </w:rPr>
        <w:t>g.</w:t>
      </w:r>
      <w:r w:rsidRPr="000801EA">
        <w:rPr>
          <w:rFonts w:ascii="Arial" w:eastAsia="Times New Roman" w:hAnsi="Arial" w:cs="Arial"/>
          <w:color w:val="212529"/>
          <w:sz w:val="24"/>
          <w:szCs w:val="24"/>
        </w:rPr>
        <w:t>, tables, bar and/or pie charts</w:t>
      </w:r>
      <w:r w:rsidR="00B3668A">
        <w:rPr>
          <w:rFonts w:ascii="Arial" w:eastAsia="Times New Roman" w:hAnsi="Arial" w:cs="Arial"/>
          <w:color w:val="212529"/>
          <w:sz w:val="24"/>
          <w:szCs w:val="24"/>
        </w:rPr>
        <w:t>)</w:t>
      </w:r>
      <w:r w:rsidRPr="000801EA">
        <w:rPr>
          <w:rFonts w:ascii="Arial" w:eastAsia="Times New Roman" w:hAnsi="Arial" w:cs="Arial"/>
          <w:color w:val="212529"/>
          <w:sz w:val="24"/>
          <w:szCs w:val="24"/>
        </w:rPr>
        <w:t>.</w:t>
      </w:r>
    </w:p>
    <w:p w14:paraId="011DFCDB" w14:textId="313A99E3" w:rsidR="000801EA" w:rsidRPr="000801EA" w:rsidRDefault="000801EA" w:rsidP="00ED4874">
      <w:pPr>
        <w:numPr>
          <w:ilvl w:val="4"/>
          <w:numId w:val="3"/>
        </w:numPr>
        <w:shd w:val="clear" w:color="auto" w:fill="FFFFFF"/>
        <w:tabs>
          <w:tab w:val="clear" w:pos="3600"/>
          <w:tab w:val="left" w:pos="2520"/>
        </w:tabs>
        <w:spacing w:before="100" w:beforeAutospacing="1" w:after="100" w:afterAutospacing="1" w:line="240" w:lineRule="auto"/>
        <w:ind w:left="2520"/>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The Center should obtain one year of energy data from the </w:t>
      </w:r>
      <w:r w:rsidR="00ED4874">
        <w:rPr>
          <w:rFonts w:ascii="Arial" w:eastAsia="Times New Roman" w:hAnsi="Arial" w:cs="Arial"/>
          <w:color w:val="212529"/>
          <w:sz w:val="24"/>
          <w:szCs w:val="24"/>
        </w:rPr>
        <w:t>co</w:t>
      </w:r>
      <w:r w:rsidRPr="000801EA">
        <w:rPr>
          <w:rFonts w:ascii="Arial" w:eastAsia="Times New Roman" w:hAnsi="Arial" w:cs="Arial"/>
          <w:color w:val="212529"/>
          <w:sz w:val="24"/>
          <w:szCs w:val="24"/>
        </w:rPr>
        <w:t>mpany before starting assessment.</w:t>
      </w:r>
    </w:p>
    <w:p w14:paraId="767A06C4" w14:textId="44589A54" w:rsidR="000801EA" w:rsidRPr="000801EA" w:rsidRDefault="000801EA" w:rsidP="00936FD6">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w:t>
      </w:r>
      <w:r w:rsidR="00936FD6">
        <w:rPr>
          <w:rFonts w:ascii="Arial" w:eastAsia="Times New Roman" w:hAnsi="Arial" w:cs="Arial"/>
          <w:color w:val="212529"/>
          <w:sz w:val="24"/>
          <w:szCs w:val="24"/>
        </w:rPr>
        <w:t>9</w:t>
      </w:r>
      <w:r w:rsidR="00936FD6">
        <w:rPr>
          <w:rFonts w:ascii="Arial" w:eastAsia="Times New Roman" w:hAnsi="Arial" w:cs="Arial"/>
          <w:color w:val="212529"/>
          <w:sz w:val="24"/>
          <w:szCs w:val="24"/>
        </w:rPr>
        <w:tab/>
      </w:r>
      <w:r w:rsidRPr="00F24163">
        <w:rPr>
          <w:rFonts w:ascii="Arial" w:eastAsia="Times New Roman" w:hAnsi="Arial" w:cs="Arial"/>
          <w:color w:val="212529"/>
          <w:sz w:val="24"/>
          <w:szCs w:val="24"/>
          <w:u w:val="single"/>
        </w:rPr>
        <w:t>Major Energy Consuming Equipment</w:t>
      </w:r>
    </w:p>
    <w:p w14:paraId="426289A9" w14:textId="79798545" w:rsidR="000801EA" w:rsidRPr="000801EA" w:rsidRDefault="000801EA" w:rsidP="00B3668A">
      <w:pPr>
        <w:numPr>
          <w:ilvl w:val="3"/>
          <w:numId w:val="3"/>
        </w:numPr>
        <w:shd w:val="clear" w:color="auto" w:fill="FFFFFF"/>
        <w:tabs>
          <w:tab w:val="clear" w:pos="288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Should include HVAC</w:t>
      </w:r>
      <w:r w:rsidR="00F24163">
        <w:rPr>
          <w:rFonts w:ascii="Arial" w:eastAsia="Times New Roman" w:hAnsi="Arial" w:cs="Arial"/>
          <w:color w:val="212529"/>
          <w:sz w:val="24"/>
          <w:szCs w:val="24"/>
        </w:rPr>
        <w:t>,</w:t>
      </w:r>
      <w:r w:rsidRPr="000801EA">
        <w:rPr>
          <w:rFonts w:ascii="Arial" w:eastAsia="Times New Roman" w:hAnsi="Arial" w:cs="Arial"/>
          <w:color w:val="212529"/>
          <w:sz w:val="24"/>
          <w:szCs w:val="24"/>
        </w:rPr>
        <w:t xml:space="preserve"> lighting,</w:t>
      </w:r>
      <w:r w:rsidR="005C3A8F">
        <w:rPr>
          <w:rFonts w:ascii="Arial" w:eastAsia="Times New Roman" w:hAnsi="Arial" w:cs="Arial"/>
          <w:color w:val="212529"/>
          <w:sz w:val="24"/>
          <w:szCs w:val="24"/>
        </w:rPr>
        <w:t xml:space="preserve"> kitchen equipment,</w:t>
      </w:r>
      <w:r w:rsidRPr="000801EA">
        <w:rPr>
          <w:rFonts w:ascii="Arial" w:eastAsia="Times New Roman" w:hAnsi="Arial" w:cs="Arial"/>
          <w:color w:val="212529"/>
          <w:sz w:val="24"/>
          <w:szCs w:val="24"/>
        </w:rPr>
        <w:t xml:space="preserve"> etc. This list should include the sizes of the major pieces of equipment and their energy requirements.</w:t>
      </w:r>
    </w:p>
    <w:p w14:paraId="5947F288" w14:textId="7277209E" w:rsidR="000801EA" w:rsidRPr="00F24163" w:rsidRDefault="000801EA" w:rsidP="00F24163">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5.1</w:t>
      </w:r>
      <w:r w:rsidR="00F24163">
        <w:rPr>
          <w:rFonts w:ascii="Arial" w:eastAsia="Times New Roman" w:hAnsi="Arial" w:cs="Arial"/>
          <w:color w:val="212529"/>
          <w:sz w:val="24"/>
          <w:szCs w:val="24"/>
        </w:rPr>
        <w:t>0</w:t>
      </w:r>
      <w:r w:rsidR="00F24163">
        <w:rPr>
          <w:rFonts w:ascii="Arial" w:eastAsia="Times New Roman" w:hAnsi="Arial" w:cs="Arial"/>
          <w:color w:val="212529"/>
          <w:sz w:val="24"/>
          <w:szCs w:val="24"/>
        </w:rPr>
        <w:tab/>
      </w:r>
      <w:r w:rsidRPr="00F24163">
        <w:rPr>
          <w:rFonts w:ascii="Arial" w:eastAsia="Times New Roman" w:hAnsi="Arial" w:cs="Arial"/>
          <w:color w:val="212529"/>
          <w:sz w:val="24"/>
          <w:szCs w:val="24"/>
          <w:u w:val="single"/>
        </w:rPr>
        <w:t>Energy Management/Additional Resources</w:t>
      </w:r>
    </w:p>
    <w:p w14:paraId="2D05B18C" w14:textId="4B069FC2" w:rsidR="000801EA" w:rsidRPr="00B37BC4" w:rsidRDefault="000801EA" w:rsidP="00B37BC4">
      <w:pPr>
        <w:numPr>
          <w:ilvl w:val="3"/>
          <w:numId w:val="3"/>
        </w:numPr>
        <w:shd w:val="clear" w:color="auto" w:fill="FFFFFF"/>
        <w:tabs>
          <w:tab w:val="clear" w:pos="2880"/>
        </w:tabs>
        <w:spacing w:before="100" w:beforeAutospacing="1" w:after="100" w:afterAutospacing="1" w:line="240" w:lineRule="auto"/>
        <w:ind w:left="2160"/>
        <w:rPr>
          <w:rFonts w:ascii="Arial" w:eastAsia="Times New Roman" w:hAnsi="Arial" w:cs="Arial"/>
          <w:color w:val="212529"/>
          <w:sz w:val="24"/>
          <w:szCs w:val="24"/>
        </w:rPr>
      </w:pPr>
      <w:r w:rsidRPr="000801EA">
        <w:rPr>
          <w:rFonts w:ascii="Arial" w:eastAsia="Times New Roman" w:hAnsi="Arial" w:cs="Arial"/>
          <w:color w:val="212529"/>
          <w:sz w:val="24"/>
          <w:szCs w:val="24"/>
        </w:rPr>
        <w:t>Section should be included to explain the importance of utilizing formal planning protocols.</w:t>
      </w:r>
    </w:p>
    <w:p w14:paraId="46D64405" w14:textId="7B39C44F" w:rsidR="000801EA" w:rsidRPr="00B03CD2" w:rsidRDefault="000801EA" w:rsidP="00B03CD2">
      <w:pPr>
        <w:pStyle w:val="ListParagraph"/>
        <w:numPr>
          <w:ilvl w:val="1"/>
          <w:numId w:val="20"/>
        </w:numPr>
        <w:shd w:val="clear" w:color="auto" w:fill="FFFFFF"/>
        <w:spacing w:before="100" w:beforeAutospacing="1" w:after="100" w:afterAutospacing="1" w:line="240" w:lineRule="auto"/>
        <w:ind w:left="1800" w:hanging="720"/>
        <w:rPr>
          <w:rFonts w:ascii="Arial" w:eastAsia="Times New Roman" w:hAnsi="Arial" w:cs="Arial"/>
          <w:color w:val="212529"/>
          <w:sz w:val="24"/>
          <w:szCs w:val="24"/>
          <w:u w:val="single"/>
        </w:rPr>
      </w:pPr>
      <w:r w:rsidRPr="00B03CD2">
        <w:rPr>
          <w:rFonts w:ascii="Arial" w:eastAsia="Times New Roman" w:hAnsi="Arial" w:cs="Arial"/>
          <w:color w:val="212529"/>
          <w:sz w:val="24"/>
          <w:szCs w:val="24"/>
          <w:u w:val="single"/>
        </w:rPr>
        <w:t>Assessment Recommendations</w:t>
      </w:r>
    </w:p>
    <w:p w14:paraId="0ECAE6A2" w14:textId="77777777" w:rsidR="00DF1499" w:rsidRDefault="000801EA" w:rsidP="00F5224A">
      <w:pPr>
        <w:numPr>
          <w:ilvl w:val="3"/>
          <w:numId w:val="3"/>
        </w:numPr>
        <w:shd w:val="clear" w:color="auto" w:fill="FFFFFF"/>
        <w:tabs>
          <w:tab w:val="clear" w:pos="2880"/>
        </w:tabs>
        <w:spacing w:before="100" w:beforeAutospacing="1" w:after="100" w:afterAutospacing="1" w:line="240" w:lineRule="auto"/>
        <w:ind w:left="2160"/>
        <w:rPr>
          <w:rFonts w:ascii="Arial" w:eastAsia="Times New Roman" w:hAnsi="Arial" w:cs="Arial"/>
          <w:color w:val="212529"/>
          <w:sz w:val="24"/>
          <w:szCs w:val="24"/>
        </w:rPr>
      </w:pPr>
      <w:r w:rsidRPr="00DF1499">
        <w:rPr>
          <w:rFonts w:ascii="Arial" w:eastAsia="Times New Roman" w:hAnsi="Arial" w:cs="Arial"/>
          <w:color w:val="212529"/>
          <w:sz w:val="24"/>
          <w:szCs w:val="24"/>
        </w:rPr>
        <w:t>Each recommendation included in the report should be self-explanatory and should not require readers to look back at other recommendations or parts of the report.</w:t>
      </w:r>
    </w:p>
    <w:p w14:paraId="4C17BF2A" w14:textId="77777777" w:rsidR="00F5224A" w:rsidRDefault="000801EA" w:rsidP="00F5224A">
      <w:pPr>
        <w:numPr>
          <w:ilvl w:val="3"/>
          <w:numId w:val="3"/>
        </w:numPr>
        <w:shd w:val="clear" w:color="auto" w:fill="FFFFFF"/>
        <w:tabs>
          <w:tab w:val="clear" w:pos="2880"/>
        </w:tabs>
        <w:spacing w:before="100" w:beforeAutospacing="1" w:after="100" w:afterAutospacing="1" w:line="240" w:lineRule="auto"/>
        <w:ind w:left="2160"/>
        <w:rPr>
          <w:rFonts w:ascii="Arial" w:eastAsia="Times New Roman" w:hAnsi="Arial" w:cs="Arial"/>
          <w:color w:val="212529"/>
          <w:sz w:val="24"/>
          <w:szCs w:val="24"/>
        </w:rPr>
      </w:pPr>
      <w:r w:rsidRPr="00DF1499">
        <w:rPr>
          <w:rFonts w:ascii="Arial" w:eastAsia="Times New Roman" w:hAnsi="Arial" w:cs="Arial"/>
          <w:color w:val="212529"/>
          <w:sz w:val="24"/>
          <w:szCs w:val="24"/>
        </w:rPr>
        <w:t xml:space="preserve">Recommendations should consider the best action to take to correct an identified problem. Multiple recommendations involving the same identified problem should not be included. </w:t>
      </w:r>
    </w:p>
    <w:p w14:paraId="39B50100" w14:textId="77777777" w:rsidR="00F5224A" w:rsidRDefault="000801EA" w:rsidP="00F5224A">
      <w:pPr>
        <w:numPr>
          <w:ilvl w:val="3"/>
          <w:numId w:val="3"/>
        </w:numPr>
        <w:shd w:val="clear" w:color="auto" w:fill="FFFFFF"/>
        <w:tabs>
          <w:tab w:val="clear" w:pos="2880"/>
        </w:tabs>
        <w:spacing w:before="100" w:beforeAutospacing="1" w:after="100" w:afterAutospacing="1" w:line="240" w:lineRule="auto"/>
        <w:ind w:left="2160"/>
        <w:rPr>
          <w:rFonts w:ascii="Arial" w:eastAsia="Times New Roman" w:hAnsi="Arial" w:cs="Arial"/>
          <w:color w:val="212529"/>
          <w:sz w:val="24"/>
          <w:szCs w:val="24"/>
        </w:rPr>
      </w:pPr>
      <w:r w:rsidRPr="00F5224A">
        <w:rPr>
          <w:rFonts w:ascii="Arial" w:eastAsia="Times New Roman" w:hAnsi="Arial" w:cs="Arial"/>
          <w:color w:val="212529"/>
          <w:sz w:val="24"/>
          <w:szCs w:val="24"/>
        </w:rPr>
        <w:t>All recommendations are to be treated independently of each other.</w:t>
      </w:r>
    </w:p>
    <w:p w14:paraId="78931665" w14:textId="6B933C4C" w:rsidR="00026EBC" w:rsidRPr="00026EBC" w:rsidRDefault="00026EBC" w:rsidP="00026EBC">
      <w:pPr>
        <w:numPr>
          <w:ilvl w:val="3"/>
          <w:numId w:val="3"/>
        </w:numPr>
        <w:shd w:val="clear" w:color="auto" w:fill="FFFFFF"/>
        <w:tabs>
          <w:tab w:val="clear" w:pos="2880"/>
        </w:tabs>
        <w:spacing w:before="100" w:beforeAutospacing="1" w:after="100" w:afterAutospacing="1" w:line="240" w:lineRule="auto"/>
        <w:ind w:left="2160"/>
        <w:rPr>
          <w:rFonts w:ascii="Arial" w:eastAsia="Times New Roman" w:hAnsi="Arial" w:cs="Arial"/>
          <w:color w:val="212529"/>
          <w:sz w:val="24"/>
          <w:szCs w:val="24"/>
        </w:rPr>
      </w:pPr>
      <w:r w:rsidRPr="00026EBC">
        <w:rPr>
          <w:rFonts w:ascii="Arial" w:eastAsia="Times New Roman" w:hAnsi="Arial" w:cs="Arial"/>
          <w:color w:val="212529"/>
          <w:sz w:val="24"/>
          <w:szCs w:val="24"/>
        </w:rPr>
        <w:t xml:space="preserve">Include data, </w:t>
      </w:r>
      <w:proofErr w:type="gramStart"/>
      <w:r w:rsidRPr="00026EBC">
        <w:rPr>
          <w:rFonts w:ascii="Arial" w:eastAsia="Times New Roman" w:hAnsi="Arial" w:cs="Arial"/>
          <w:color w:val="212529"/>
          <w:sz w:val="24"/>
          <w:szCs w:val="24"/>
        </w:rPr>
        <w:t>pictures</w:t>
      </w:r>
      <w:proofErr w:type="gramEnd"/>
      <w:r w:rsidRPr="00026EBC">
        <w:rPr>
          <w:rFonts w:ascii="Arial" w:eastAsia="Times New Roman" w:hAnsi="Arial" w:cs="Arial"/>
          <w:color w:val="212529"/>
          <w:sz w:val="24"/>
          <w:szCs w:val="24"/>
        </w:rPr>
        <w:t xml:space="preserve"> and personal observations</w:t>
      </w:r>
      <w:r>
        <w:rPr>
          <w:rFonts w:ascii="Arial" w:eastAsia="Times New Roman" w:hAnsi="Arial" w:cs="Arial"/>
          <w:color w:val="212529"/>
          <w:sz w:val="24"/>
          <w:szCs w:val="24"/>
        </w:rPr>
        <w:t xml:space="preserve"> from the site visit</w:t>
      </w:r>
      <w:r w:rsidRPr="00026EBC">
        <w:rPr>
          <w:rFonts w:ascii="Arial" w:eastAsia="Times New Roman" w:hAnsi="Arial" w:cs="Arial"/>
          <w:color w:val="212529"/>
          <w:sz w:val="24"/>
          <w:szCs w:val="24"/>
        </w:rPr>
        <w:t>.</w:t>
      </w:r>
    </w:p>
    <w:p w14:paraId="783E6445" w14:textId="01B02F59" w:rsidR="00141725" w:rsidRPr="00F5224A" w:rsidRDefault="00F5224A" w:rsidP="00F5224A">
      <w:pPr>
        <w:shd w:val="clear" w:color="auto" w:fill="FFFFFF"/>
        <w:spacing w:before="100" w:beforeAutospacing="1" w:after="100" w:afterAutospacing="1" w:line="240" w:lineRule="auto"/>
        <w:ind w:left="1080" w:hanging="720"/>
        <w:rPr>
          <w:rFonts w:ascii="Arial" w:eastAsia="Times New Roman" w:hAnsi="Arial" w:cs="Arial"/>
          <w:color w:val="212529"/>
          <w:sz w:val="24"/>
          <w:szCs w:val="24"/>
        </w:rPr>
      </w:pPr>
      <w:r>
        <w:rPr>
          <w:rFonts w:ascii="Arial" w:eastAsia="Times New Roman" w:hAnsi="Arial" w:cs="Arial"/>
          <w:color w:val="212529"/>
          <w:sz w:val="24"/>
          <w:szCs w:val="24"/>
        </w:rPr>
        <w:lastRenderedPageBreak/>
        <w:t>6.</w:t>
      </w:r>
      <w:r>
        <w:rPr>
          <w:rFonts w:ascii="Arial" w:eastAsia="Times New Roman" w:hAnsi="Arial" w:cs="Arial"/>
          <w:color w:val="212529"/>
          <w:sz w:val="24"/>
          <w:szCs w:val="24"/>
        </w:rPr>
        <w:tab/>
      </w:r>
      <w:r w:rsidR="007F6123">
        <w:rPr>
          <w:rFonts w:ascii="Arial" w:eastAsia="Times New Roman" w:hAnsi="Arial" w:cs="Arial"/>
          <w:color w:val="212529"/>
          <w:sz w:val="24"/>
          <w:szCs w:val="24"/>
        </w:rPr>
        <w:t>A</w:t>
      </w:r>
      <w:r w:rsidR="00B03CD2" w:rsidRPr="00F5224A">
        <w:rPr>
          <w:rFonts w:ascii="Arial" w:eastAsia="Times New Roman" w:hAnsi="Arial" w:cs="Arial"/>
          <w:color w:val="212529"/>
          <w:sz w:val="24"/>
          <w:szCs w:val="24"/>
        </w:rPr>
        <w:t xml:space="preserve">ssessment </w:t>
      </w:r>
      <w:r>
        <w:rPr>
          <w:rFonts w:ascii="Arial" w:eastAsia="Times New Roman" w:hAnsi="Arial" w:cs="Arial"/>
          <w:color w:val="212529"/>
          <w:sz w:val="24"/>
          <w:szCs w:val="24"/>
        </w:rPr>
        <w:t>r</w:t>
      </w:r>
      <w:r w:rsidR="00B03CD2" w:rsidRPr="00F5224A">
        <w:rPr>
          <w:rFonts w:ascii="Arial" w:eastAsia="Times New Roman" w:hAnsi="Arial" w:cs="Arial"/>
          <w:color w:val="212529"/>
          <w:sz w:val="24"/>
          <w:szCs w:val="24"/>
        </w:rPr>
        <w:t xml:space="preserve">ecommendations </w:t>
      </w:r>
      <w:r w:rsidR="00141725" w:rsidRPr="00F5224A">
        <w:rPr>
          <w:rFonts w:ascii="Arial" w:eastAsia="Times New Roman" w:hAnsi="Arial" w:cs="Arial"/>
          <w:color w:val="212529"/>
          <w:sz w:val="24"/>
          <w:szCs w:val="24"/>
        </w:rPr>
        <w:t xml:space="preserve">must </w:t>
      </w:r>
      <w:r w:rsidR="007F6123">
        <w:rPr>
          <w:rFonts w:ascii="Arial" w:eastAsia="Times New Roman" w:hAnsi="Arial" w:cs="Arial"/>
          <w:color w:val="212529"/>
          <w:sz w:val="24"/>
          <w:szCs w:val="24"/>
        </w:rPr>
        <w:t xml:space="preserve">consider the </w:t>
      </w:r>
      <w:r w:rsidR="00141725" w:rsidRPr="00F5224A">
        <w:rPr>
          <w:rFonts w:ascii="Arial" w:eastAsia="Times New Roman" w:hAnsi="Arial" w:cs="Arial"/>
          <w:color w:val="212529"/>
          <w:sz w:val="24"/>
          <w:szCs w:val="24"/>
        </w:rPr>
        <w:t>follow</w:t>
      </w:r>
      <w:r w:rsidR="007F6123">
        <w:rPr>
          <w:rFonts w:ascii="Arial" w:eastAsia="Times New Roman" w:hAnsi="Arial" w:cs="Arial"/>
          <w:color w:val="212529"/>
          <w:sz w:val="24"/>
          <w:szCs w:val="24"/>
        </w:rPr>
        <w:t>ing</w:t>
      </w:r>
      <w:r w:rsidR="00141725" w:rsidRPr="00F5224A">
        <w:rPr>
          <w:rFonts w:ascii="Arial" w:eastAsia="Times New Roman" w:hAnsi="Arial" w:cs="Arial"/>
          <w:color w:val="212529"/>
          <w:sz w:val="24"/>
          <w:szCs w:val="24"/>
        </w:rPr>
        <w:t>:</w:t>
      </w:r>
    </w:p>
    <w:p w14:paraId="72BE6E1C" w14:textId="341D36B4" w:rsidR="00822814" w:rsidRDefault="007F6123" w:rsidP="00457538">
      <w:pPr>
        <w:pStyle w:val="ListParagraph"/>
        <w:numPr>
          <w:ilvl w:val="1"/>
          <w:numId w:val="26"/>
        </w:numPr>
        <w:shd w:val="clear" w:color="auto" w:fill="FFFFFF"/>
        <w:spacing w:before="100" w:beforeAutospacing="1" w:after="0" w:line="240" w:lineRule="auto"/>
        <w:ind w:left="1800" w:hanging="720"/>
        <w:rPr>
          <w:rFonts w:ascii="Arial" w:eastAsia="Times New Roman" w:hAnsi="Arial" w:cs="Arial"/>
          <w:color w:val="212529"/>
          <w:sz w:val="24"/>
          <w:szCs w:val="24"/>
        </w:rPr>
      </w:pPr>
      <w:r>
        <w:rPr>
          <w:rFonts w:ascii="Arial" w:eastAsia="Times New Roman" w:hAnsi="Arial" w:cs="Arial"/>
          <w:color w:val="212529"/>
          <w:sz w:val="24"/>
          <w:szCs w:val="24"/>
        </w:rPr>
        <w:t>Use a t</w:t>
      </w:r>
      <w:r w:rsidR="000801EA" w:rsidRPr="00822814">
        <w:rPr>
          <w:rFonts w:ascii="Arial" w:eastAsia="Times New Roman" w:hAnsi="Arial" w:cs="Arial"/>
          <w:color w:val="212529"/>
          <w:sz w:val="24"/>
          <w:szCs w:val="24"/>
        </w:rPr>
        <w:t xml:space="preserve">able </w:t>
      </w:r>
      <w:r>
        <w:rPr>
          <w:rFonts w:ascii="Arial" w:eastAsia="Times New Roman" w:hAnsi="Arial" w:cs="Arial"/>
          <w:color w:val="212529"/>
          <w:sz w:val="24"/>
          <w:szCs w:val="24"/>
        </w:rPr>
        <w:t xml:space="preserve">to </w:t>
      </w:r>
      <w:r w:rsidR="000801EA" w:rsidRPr="00822814">
        <w:rPr>
          <w:rFonts w:ascii="Arial" w:eastAsia="Times New Roman" w:hAnsi="Arial" w:cs="Arial"/>
          <w:color w:val="212529"/>
          <w:sz w:val="24"/>
          <w:szCs w:val="24"/>
        </w:rPr>
        <w:t>summariz</w:t>
      </w:r>
      <w:r>
        <w:rPr>
          <w:rFonts w:ascii="Arial" w:eastAsia="Times New Roman" w:hAnsi="Arial" w:cs="Arial"/>
          <w:color w:val="212529"/>
          <w:sz w:val="24"/>
          <w:szCs w:val="24"/>
        </w:rPr>
        <w:t>e results</w:t>
      </w:r>
      <w:r w:rsidR="000801EA" w:rsidRPr="00822814">
        <w:rPr>
          <w:rFonts w:ascii="Arial" w:eastAsia="Times New Roman" w:hAnsi="Arial" w:cs="Arial"/>
          <w:color w:val="212529"/>
          <w:sz w:val="24"/>
          <w:szCs w:val="24"/>
        </w:rPr>
        <w:t>.</w:t>
      </w:r>
    </w:p>
    <w:p w14:paraId="5D8A8D73" w14:textId="77777777" w:rsidR="00457538" w:rsidRDefault="00457538" w:rsidP="00457538">
      <w:pPr>
        <w:pStyle w:val="ListParagraph"/>
        <w:shd w:val="clear" w:color="auto" w:fill="FFFFFF"/>
        <w:spacing w:before="100" w:beforeAutospacing="1" w:after="0" w:line="240" w:lineRule="auto"/>
        <w:ind w:left="1800"/>
        <w:rPr>
          <w:rFonts w:ascii="Arial" w:eastAsia="Times New Roman" w:hAnsi="Arial" w:cs="Arial"/>
          <w:color w:val="212529"/>
          <w:sz w:val="24"/>
          <w:szCs w:val="24"/>
        </w:rPr>
      </w:pPr>
    </w:p>
    <w:p w14:paraId="2ED04006" w14:textId="0EBD785E" w:rsidR="004D54D1" w:rsidRDefault="00C90F97" w:rsidP="00457538">
      <w:pPr>
        <w:pStyle w:val="ListParagraph"/>
        <w:numPr>
          <w:ilvl w:val="2"/>
          <w:numId w:val="26"/>
        </w:numPr>
        <w:spacing w:before="240"/>
        <w:ind w:left="2160" w:hanging="360"/>
        <w:rPr>
          <w:rFonts w:ascii="Arial" w:eastAsia="Times New Roman" w:hAnsi="Arial" w:cs="Arial"/>
          <w:color w:val="212529"/>
          <w:sz w:val="24"/>
          <w:szCs w:val="24"/>
        </w:rPr>
      </w:pPr>
      <w:r>
        <w:rPr>
          <w:rFonts w:ascii="Arial" w:eastAsia="Times New Roman" w:hAnsi="Arial" w:cs="Arial"/>
          <w:color w:val="212529"/>
          <w:sz w:val="24"/>
          <w:szCs w:val="24"/>
        </w:rPr>
        <w:t xml:space="preserve">Normally only </w:t>
      </w:r>
      <w:r w:rsidR="004D54D1" w:rsidRPr="004D54D1">
        <w:rPr>
          <w:rFonts w:ascii="Arial" w:eastAsia="Times New Roman" w:hAnsi="Arial" w:cs="Arial"/>
          <w:color w:val="212529"/>
          <w:sz w:val="24"/>
          <w:szCs w:val="24"/>
        </w:rPr>
        <w:t xml:space="preserve">include recommendations </w:t>
      </w:r>
      <w:r>
        <w:rPr>
          <w:rFonts w:ascii="Arial" w:eastAsia="Times New Roman" w:hAnsi="Arial" w:cs="Arial"/>
          <w:color w:val="212529"/>
          <w:sz w:val="24"/>
          <w:szCs w:val="24"/>
        </w:rPr>
        <w:t>with</w:t>
      </w:r>
      <w:r w:rsidR="004D54D1" w:rsidRPr="004D54D1">
        <w:rPr>
          <w:rFonts w:ascii="Arial" w:eastAsia="Times New Roman" w:hAnsi="Arial" w:cs="Arial"/>
          <w:color w:val="212529"/>
          <w:sz w:val="24"/>
          <w:szCs w:val="24"/>
        </w:rPr>
        <w:t xml:space="preserve"> a simple payback of </w:t>
      </w:r>
      <w:r w:rsidR="004D54D1">
        <w:rPr>
          <w:rFonts w:ascii="Arial" w:eastAsia="Times New Roman" w:hAnsi="Arial" w:cs="Arial"/>
          <w:color w:val="212529"/>
          <w:sz w:val="24"/>
          <w:szCs w:val="24"/>
        </w:rPr>
        <w:t>five</w:t>
      </w:r>
      <w:r w:rsidR="004D54D1" w:rsidRPr="004D54D1">
        <w:rPr>
          <w:rFonts w:ascii="Arial" w:eastAsia="Times New Roman" w:hAnsi="Arial" w:cs="Arial"/>
          <w:color w:val="212529"/>
          <w:sz w:val="24"/>
          <w:szCs w:val="24"/>
        </w:rPr>
        <w:t xml:space="preserve"> years or less</w:t>
      </w:r>
      <w:r>
        <w:rPr>
          <w:rFonts w:ascii="Arial" w:eastAsia="Times New Roman" w:hAnsi="Arial" w:cs="Arial"/>
          <w:color w:val="212529"/>
          <w:sz w:val="24"/>
          <w:szCs w:val="24"/>
        </w:rPr>
        <w:t>, unless otherwise directed by the client</w:t>
      </w:r>
      <w:r w:rsidR="004D54D1" w:rsidRPr="004D54D1">
        <w:rPr>
          <w:rFonts w:ascii="Arial" w:eastAsia="Times New Roman" w:hAnsi="Arial" w:cs="Arial"/>
          <w:color w:val="212529"/>
          <w:sz w:val="24"/>
          <w:szCs w:val="24"/>
        </w:rPr>
        <w:t>.</w:t>
      </w:r>
    </w:p>
    <w:p w14:paraId="5CD35A6B" w14:textId="0A7D27BA" w:rsidR="004D54D1" w:rsidRDefault="004D54D1" w:rsidP="00026EBC">
      <w:pPr>
        <w:pStyle w:val="ListParagraph"/>
        <w:numPr>
          <w:ilvl w:val="2"/>
          <w:numId w:val="26"/>
        </w:numPr>
        <w:ind w:left="2160" w:hanging="360"/>
        <w:rPr>
          <w:rFonts w:ascii="Arial" w:eastAsia="Times New Roman" w:hAnsi="Arial" w:cs="Arial"/>
          <w:color w:val="212529"/>
          <w:sz w:val="24"/>
          <w:szCs w:val="24"/>
        </w:rPr>
      </w:pPr>
      <w:r w:rsidRPr="004D54D1">
        <w:rPr>
          <w:rFonts w:ascii="Arial" w:eastAsia="Times New Roman" w:hAnsi="Arial" w:cs="Arial"/>
          <w:color w:val="212529"/>
          <w:sz w:val="24"/>
          <w:szCs w:val="24"/>
        </w:rPr>
        <w:t>Include anticipated savings based on detailed calculations of assessment recommendations.</w:t>
      </w:r>
    </w:p>
    <w:p w14:paraId="7E69B533" w14:textId="45FAB2AF" w:rsidR="00026EBC" w:rsidRDefault="00026EBC" w:rsidP="00B133C3">
      <w:pPr>
        <w:pStyle w:val="ListParagraph"/>
        <w:numPr>
          <w:ilvl w:val="2"/>
          <w:numId w:val="26"/>
        </w:numPr>
        <w:ind w:left="2160" w:hanging="360"/>
        <w:rPr>
          <w:rFonts w:ascii="Arial" w:eastAsia="Times New Roman" w:hAnsi="Arial" w:cs="Arial"/>
          <w:color w:val="212529"/>
          <w:sz w:val="24"/>
          <w:szCs w:val="24"/>
        </w:rPr>
      </w:pPr>
      <w:r>
        <w:rPr>
          <w:rFonts w:ascii="Arial" w:eastAsia="Times New Roman" w:hAnsi="Arial" w:cs="Arial"/>
          <w:color w:val="212529"/>
          <w:sz w:val="24"/>
          <w:szCs w:val="24"/>
        </w:rPr>
        <w:t xml:space="preserve">Include implementation costs with detailed </w:t>
      </w:r>
      <w:r w:rsidR="00B133C3" w:rsidRPr="00B133C3">
        <w:rPr>
          <w:rFonts w:ascii="Arial" w:eastAsia="Times New Roman" w:hAnsi="Arial" w:cs="Arial"/>
          <w:color w:val="212529"/>
          <w:sz w:val="24"/>
          <w:szCs w:val="24"/>
        </w:rPr>
        <w:t>capital costs</w:t>
      </w:r>
      <w:r w:rsidR="00B133C3">
        <w:rPr>
          <w:rFonts w:ascii="Arial" w:eastAsia="Times New Roman" w:hAnsi="Arial" w:cs="Arial"/>
          <w:color w:val="212529"/>
          <w:sz w:val="24"/>
          <w:szCs w:val="24"/>
        </w:rPr>
        <w:t xml:space="preserve">, </w:t>
      </w:r>
      <w:r w:rsidR="00B133C3" w:rsidRPr="00B133C3">
        <w:rPr>
          <w:rFonts w:ascii="Arial" w:eastAsia="Times New Roman" w:hAnsi="Arial" w:cs="Arial"/>
          <w:color w:val="212529"/>
          <w:sz w:val="24"/>
          <w:szCs w:val="24"/>
        </w:rPr>
        <w:t>"balance of project" costs</w:t>
      </w:r>
      <w:r w:rsidR="00B133C3">
        <w:rPr>
          <w:rFonts w:ascii="Arial" w:eastAsia="Times New Roman" w:hAnsi="Arial" w:cs="Arial"/>
          <w:color w:val="212529"/>
          <w:sz w:val="24"/>
          <w:szCs w:val="24"/>
        </w:rPr>
        <w:t xml:space="preserve"> and l</w:t>
      </w:r>
      <w:r w:rsidR="00B133C3" w:rsidRPr="00B133C3">
        <w:rPr>
          <w:rFonts w:ascii="Arial" w:eastAsia="Times New Roman" w:hAnsi="Arial" w:cs="Arial"/>
          <w:color w:val="212529"/>
          <w:sz w:val="24"/>
          <w:szCs w:val="24"/>
        </w:rPr>
        <w:t>abor costs</w:t>
      </w:r>
      <w:r w:rsidR="00B133C3">
        <w:rPr>
          <w:rFonts w:ascii="Arial" w:eastAsia="Times New Roman" w:hAnsi="Arial" w:cs="Arial"/>
          <w:color w:val="212529"/>
          <w:sz w:val="24"/>
          <w:szCs w:val="24"/>
        </w:rPr>
        <w:t>.</w:t>
      </w:r>
    </w:p>
    <w:p w14:paraId="3DA5BEEA" w14:textId="2A9C436B" w:rsidR="005C3A8F" w:rsidRPr="00B133C3" w:rsidRDefault="005C3A8F" w:rsidP="00B133C3">
      <w:pPr>
        <w:pStyle w:val="ListParagraph"/>
        <w:numPr>
          <w:ilvl w:val="2"/>
          <w:numId w:val="26"/>
        </w:numPr>
        <w:ind w:left="2160" w:hanging="360"/>
        <w:rPr>
          <w:rFonts w:ascii="Arial" w:eastAsia="Times New Roman" w:hAnsi="Arial" w:cs="Arial"/>
          <w:color w:val="212529"/>
          <w:sz w:val="24"/>
          <w:szCs w:val="24"/>
        </w:rPr>
      </w:pPr>
      <w:r>
        <w:rPr>
          <w:rFonts w:ascii="Arial" w:eastAsia="Times New Roman" w:hAnsi="Arial" w:cs="Arial"/>
          <w:color w:val="212529"/>
          <w:sz w:val="24"/>
          <w:szCs w:val="24"/>
        </w:rPr>
        <w:t>Include available rebates and incentives for recommended measures.</w:t>
      </w:r>
    </w:p>
    <w:p w14:paraId="48474966" w14:textId="77777777" w:rsidR="00026EBC" w:rsidRPr="00026EBC" w:rsidRDefault="00026EBC" w:rsidP="00026EBC">
      <w:pPr>
        <w:pStyle w:val="ListParagraph"/>
        <w:ind w:left="2160"/>
        <w:rPr>
          <w:rFonts w:ascii="Arial" w:eastAsia="Times New Roman" w:hAnsi="Arial" w:cs="Arial"/>
          <w:color w:val="212529"/>
          <w:sz w:val="24"/>
          <w:szCs w:val="24"/>
        </w:rPr>
      </w:pPr>
    </w:p>
    <w:p w14:paraId="26634A6A" w14:textId="2ABBD923" w:rsidR="004D54D1" w:rsidRDefault="000801EA" w:rsidP="004D54D1">
      <w:pPr>
        <w:pStyle w:val="ListParagraph"/>
        <w:numPr>
          <w:ilvl w:val="1"/>
          <w:numId w:val="26"/>
        </w:num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4D54D1">
        <w:rPr>
          <w:rFonts w:ascii="Arial" w:eastAsia="Times New Roman" w:hAnsi="Arial" w:cs="Arial"/>
          <w:color w:val="212529"/>
          <w:sz w:val="24"/>
          <w:szCs w:val="24"/>
        </w:rPr>
        <w:t xml:space="preserve">Normally details of calculations are given. </w:t>
      </w:r>
    </w:p>
    <w:p w14:paraId="0385CF70" w14:textId="77777777" w:rsidR="00457538" w:rsidRPr="004D54D1" w:rsidRDefault="00457538" w:rsidP="00457538">
      <w:pPr>
        <w:pStyle w:val="ListParagraph"/>
        <w:shd w:val="clear" w:color="auto" w:fill="FFFFFF"/>
        <w:spacing w:before="100" w:beforeAutospacing="1" w:after="100" w:afterAutospacing="1" w:line="240" w:lineRule="auto"/>
        <w:ind w:left="1800"/>
        <w:rPr>
          <w:rFonts w:ascii="Arial" w:eastAsia="Times New Roman" w:hAnsi="Arial" w:cs="Arial"/>
          <w:color w:val="212529"/>
          <w:sz w:val="24"/>
          <w:szCs w:val="24"/>
        </w:rPr>
      </w:pPr>
    </w:p>
    <w:p w14:paraId="627615D0" w14:textId="77777777" w:rsidR="00026EBC" w:rsidRDefault="000801EA" w:rsidP="00457538">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4D54D1">
        <w:rPr>
          <w:rFonts w:ascii="Arial" w:eastAsia="Times New Roman" w:hAnsi="Arial" w:cs="Arial"/>
          <w:color w:val="212529"/>
          <w:sz w:val="24"/>
          <w:szCs w:val="24"/>
        </w:rPr>
        <w:t>In all cases an effort should be made to explain the rationale behind the recommendation.</w:t>
      </w:r>
    </w:p>
    <w:p w14:paraId="5778651D" w14:textId="77777777" w:rsidR="00026EBC" w:rsidRDefault="000801EA" w:rsidP="00026EBC">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457538">
        <w:rPr>
          <w:rFonts w:ascii="Arial" w:eastAsia="Times New Roman" w:hAnsi="Arial" w:cs="Arial"/>
          <w:color w:val="212529"/>
          <w:sz w:val="24"/>
          <w:szCs w:val="24"/>
        </w:rPr>
        <w:t>Avoid using black box software solvers, rule of thumb, or ‘in my experience’ as reasoning.</w:t>
      </w:r>
    </w:p>
    <w:p w14:paraId="28EECF5D" w14:textId="77777777" w:rsidR="00026EBC" w:rsidRDefault="000801EA" w:rsidP="00026EBC">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026EBC">
        <w:rPr>
          <w:rFonts w:ascii="Arial" w:eastAsia="Times New Roman" w:hAnsi="Arial" w:cs="Arial"/>
          <w:color w:val="212529"/>
          <w:sz w:val="24"/>
          <w:szCs w:val="24"/>
        </w:rPr>
        <w:t>Use of the outputs of DOE-approved tools is acceptable and encouraged.</w:t>
      </w:r>
    </w:p>
    <w:p w14:paraId="77B72A28" w14:textId="11EE4A97" w:rsidR="000801EA" w:rsidRDefault="000801EA" w:rsidP="00B133C3">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026EBC">
        <w:rPr>
          <w:rFonts w:ascii="Arial" w:eastAsia="Times New Roman" w:hAnsi="Arial" w:cs="Arial"/>
          <w:color w:val="212529"/>
          <w:sz w:val="24"/>
          <w:szCs w:val="24"/>
        </w:rPr>
        <w:t>Transparency in all calculations is desired.</w:t>
      </w:r>
    </w:p>
    <w:p w14:paraId="7DB040F8" w14:textId="77777777" w:rsidR="00B133C3" w:rsidRDefault="00B133C3" w:rsidP="00B133C3">
      <w:pPr>
        <w:pStyle w:val="ListParagraph"/>
        <w:shd w:val="clear" w:color="auto" w:fill="FFFFFF"/>
        <w:spacing w:before="100" w:beforeAutospacing="1" w:after="100" w:afterAutospacing="1" w:line="240" w:lineRule="auto"/>
        <w:ind w:left="2160"/>
        <w:rPr>
          <w:rFonts w:ascii="Arial" w:eastAsia="Times New Roman" w:hAnsi="Arial" w:cs="Arial"/>
          <w:color w:val="212529"/>
          <w:sz w:val="24"/>
          <w:szCs w:val="24"/>
        </w:rPr>
      </w:pPr>
    </w:p>
    <w:p w14:paraId="48D93319" w14:textId="5A3D1640" w:rsidR="000801EA" w:rsidRDefault="000801EA" w:rsidP="00B133C3">
      <w:pPr>
        <w:pStyle w:val="ListParagraph"/>
        <w:numPr>
          <w:ilvl w:val="1"/>
          <w:numId w:val="26"/>
        </w:num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B133C3">
        <w:rPr>
          <w:rFonts w:ascii="Arial" w:eastAsia="Times New Roman" w:hAnsi="Arial" w:cs="Arial"/>
          <w:color w:val="212529"/>
          <w:sz w:val="24"/>
          <w:szCs w:val="24"/>
        </w:rPr>
        <w:t xml:space="preserve">The general rule </w:t>
      </w:r>
      <w:r w:rsidR="00B133C3">
        <w:rPr>
          <w:rFonts w:ascii="Arial" w:eastAsia="Times New Roman" w:hAnsi="Arial" w:cs="Arial"/>
          <w:color w:val="212529"/>
          <w:sz w:val="24"/>
          <w:szCs w:val="24"/>
        </w:rPr>
        <w:t>of</w:t>
      </w:r>
      <w:r w:rsidRPr="00B133C3">
        <w:rPr>
          <w:rFonts w:ascii="Arial" w:eastAsia="Times New Roman" w:hAnsi="Arial" w:cs="Arial"/>
          <w:color w:val="212529"/>
          <w:sz w:val="24"/>
          <w:szCs w:val="24"/>
        </w:rPr>
        <w:t xml:space="preserve"> pricing </w:t>
      </w:r>
      <w:r w:rsidR="00B133C3">
        <w:rPr>
          <w:rFonts w:ascii="Arial" w:eastAsia="Times New Roman" w:hAnsi="Arial" w:cs="Arial"/>
          <w:color w:val="212529"/>
          <w:sz w:val="24"/>
          <w:szCs w:val="24"/>
        </w:rPr>
        <w:t xml:space="preserve">for implementation costs </w:t>
      </w:r>
      <w:r w:rsidRPr="00B133C3">
        <w:rPr>
          <w:rFonts w:ascii="Arial" w:eastAsia="Times New Roman" w:hAnsi="Arial" w:cs="Arial"/>
          <w:color w:val="212529"/>
          <w:sz w:val="24"/>
          <w:szCs w:val="24"/>
        </w:rPr>
        <w:t>is as follows:</w:t>
      </w:r>
    </w:p>
    <w:p w14:paraId="748B8185" w14:textId="77777777" w:rsidR="00B133C3" w:rsidRPr="00B133C3" w:rsidRDefault="00B133C3" w:rsidP="00B133C3">
      <w:pPr>
        <w:pStyle w:val="ListParagraph"/>
        <w:shd w:val="clear" w:color="auto" w:fill="FFFFFF"/>
        <w:spacing w:before="100" w:beforeAutospacing="1" w:after="100" w:afterAutospacing="1" w:line="240" w:lineRule="auto"/>
        <w:ind w:left="1800"/>
        <w:rPr>
          <w:rFonts w:ascii="Arial" w:eastAsia="Times New Roman" w:hAnsi="Arial" w:cs="Arial"/>
          <w:color w:val="212529"/>
          <w:sz w:val="24"/>
          <w:szCs w:val="24"/>
        </w:rPr>
      </w:pPr>
    </w:p>
    <w:p w14:paraId="1F0D9BB2" w14:textId="77777777" w:rsidR="00FE5C2F" w:rsidRDefault="000801EA" w:rsidP="00B133C3">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FE5C2F">
        <w:rPr>
          <w:rFonts w:ascii="Arial" w:eastAsia="Times New Roman" w:hAnsi="Arial" w:cs="Arial"/>
          <w:color w:val="212529"/>
          <w:sz w:val="24"/>
          <w:szCs w:val="24"/>
        </w:rPr>
        <w:t>The names and contact information of at least 3 vendors must be included.</w:t>
      </w:r>
    </w:p>
    <w:p w14:paraId="09E3AA71" w14:textId="77777777" w:rsidR="00FE5C2F" w:rsidRDefault="000801EA" w:rsidP="00B133C3">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FE5C2F">
        <w:rPr>
          <w:rFonts w:ascii="Arial" w:eastAsia="Times New Roman" w:hAnsi="Arial" w:cs="Arial"/>
          <w:color w:val="212529"/>
          <w:sz w:val="24"/>
          <w:szCs w:val="24"/>
        </w:rPr>
        <w:t>If a center is aware of only one vendor that produces a specific product, this company can be listed with a statement saying that they are the only known company that produces this product.</w:t>
      </w:r>
    </w:p>
    <w:p w14:paraId="3C423A31" w14:textId="77777777" w:rsidR="00FE5C2F" w:rsidRDefault="000801EA" w:rsidP="00B133C3">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FE5C2F">
        <w:rPr>
          <w:rFonts w:ascii="Arial" w:eastAsia="Times New Roman" w:hAnsi="Arial" w:cs="Arial"/>
          <w:color w:val="212529"/>
          <w:sz w:val="24"/>
          <w:szCs w:val="24"/>
        </w:rPr>
        <w:t xml:space="preserve">Industry standards using </w:t>
      </w:r>
      <w:r w:rsidR="00FE5C2F">
        <w:rPr>
          <w:rFonts w:ascii="Arial" w:eastAsia="Times New Roman" w:hAnsi="Arial" w:cs="Arial"/>
          <w:color w:val="212529"/>
          <w:sz w:val="24"/>
          <w:szCs w:val="24"/>
        </w:rPr>
        <w:t xml:space="preserve">resources </w:t>
      </w:r>
      <w:r w:rsidRPr="00FE5C2F">
        <w:rPr>
          <w:rFonts w:ascii="Arial" w:eastAsia="Times New Roman" w:hAnsi="Arial" w:cs="Arial"/>
          <w:color w:val="212529"/>
          <w:sz w:val="24"/>
          <w:szCs w:val="24"/>
        </w:rPr>
        <w:t xml:space="preserve">such as </w:t>
      </w:r>
      <w:proofErr w:type="spellStart"/>
      <w:r w:rsidRPr="00FE5C2F">
        <w:rPr>
          <w:rFonts w:ascii="Arial" w:eastAsia="Times New Roman" w:hAnsi="Arial" w:cs="Arial"/>
          <w:color w:val="212529"/>
          <w:sz w:val="24"/>
          <w:szCs w:val="24"/>
        </w:rPr>
        <w:t>RSMeans</w:t>
      </w:r>
      <w:proofErr w:type="spellEnd"/>
      <w:r w:rsidRPr="00FE5C2F">
        <w:rPr>
          <w:rFonts w:ascii="Arial" w:eastAsia="Times New Roman" w:hAnsi="Arial" w:cs="Arial"/>
          <w:color w:val="212529"/>
          <w:sz w:val="24"/>
          <w:szCs w:val="24"/>
        </w:rPr>
        <w:t xml:space="preserve"> is acceptable.</w:t>
      </w:r>
    </w:p>
    <w:p w14:paraId="23BF1952" w14:textId="4FF13748" w:rsidR="000801EA" w:rsidRPr="00FE5C2F" w:rsidRDefault="000801EA" w:rsidP="00B133C3">
      <w:pPr>
        <w:pStyle w:val="ListParagraph"/>
        <w:numPr>
          <w:ilvl w:val="2"/>
          <w:numId w:val="26"/>
        </w:numPr>
        <w:shd w:val="clear" w:color="auto" w:fill="FFFFFF"/>
        <w:spacing w:before="100" w:beforeAutospacing="1" w:after="100" w:afterAutospacing="1" w:line="240" w:lineRule="auto"/>
        <w:ind w:left="2160" w:hanging="360"/>
        <w:rPr>
          <w:rFonts w:ascii="Arial" w:eastAsia="Times New Roman" w:hAnsi="Arial" w:cs="Arial"/>
          <w:color w:val="212529"/>
          <w:sz w:val="24"/>
          <w:szCs w:val="24"/>
        </w:rPr>
      </w:pPr>
      <w:r w:rsidRPr="00FE5C2F">
        <w:rPr>
          <w:rFonts w:ascii="Arial" w:eastAsia="Times New Roman" w:hAnsi="Arial" w:cs="Arial"/>
          <w:color w:val="212529"/>
          <w:sz w:val="24"/>
          <w:szCs w:val="24"/>
        </w:rPr>
        <w:t>If a recommendation is referring to a common product (e</w:t>
      </w:r>
      <w:r w:rsidR="00FE5C2F">
        <w:rPr>
          <w:rFonts w:ascii="Arial" w:eastAsia="Times New Roman" w:hAnsi="Arial" w:cs="Arial"/>
          <w:color w:val="212529"/>
          <w:sz w:val="24"/>
          <w:szCs w:val="24"/>
        </w:rPr>
        <w:t>.g</w:t>
      </w:r>
      <w:r w:rsidRPr="00FE5C2F">
        <w:rPr>
          <w:rFonts w:ascii="Arial" w:eastAsia="Times New Roman" w:hAnsi="Arial" w:cs="Arial"/>
          <w:color w:val="212529"/>
          <w:sz w:val="24"/>
          <w:szCs w:val="24"/>
        </w:rPr>
        <w:t>.</w:t>
      </w:r>
      <w:r w:rsidR="00FE5C2F">
        <w:rPr>
          <w:rFonts w:ascii="Arial" w:eastAsia="Times New Roman" w:hAnsi="Arial" w:cs="Arial"/>
          <w:color w:val="212529"/>
          <w:sz w:val="24"/>
          <w:szCs w:val="24"/>
        </w:rPr>
        <w:t>,</w:t>
      </w:r>
      <w:r w:rsidRPr="00FE5C2F">
        <w:rPr>
          <w:rFonts w:ascii="Arial" w:eastAsia="Times New Roman" w:hAnsi="Arial" w:cs="Arial"/>
          <w:color w:val="212529"/>
          <w:sz w:val="24"/>
          <w:szCs w:val="24"/>
        </w:rPr>
        <w:t xml:space="preserve"> </w:t>
      </w:r>
      <w:r w:rsidR="005C3A8F">
        <w:rPr>
          <w:rFonts w:ascii="Arial" w:eastAsia="Times New Roman" w:hAnsi="Arial" w:cs="Arial"/>
          <w:color w:val="212529"/>
          <w:sz w:val="24"/>
          <w:szCs w:val="24"/>
        </w:rPr>
        <w:t>LED lighting</w:t>
      </w:r>
      <w:r w:rsidRPr="00FE5C2F">
        <w:rPr>
          <w:rFonts w:ascii="Arial" w:eastAsia="Times New Roman" w:hAnsi="Arial" w:cs="Arial"/>
          <w:color w:val="212529"/>
          <w:sz w:val="24"/>
          <w:szCs w:val="24"/>
        </w:rPr>
        <w:t>), then the use of a single generic vendor is acceptable.</w:t>
      </w:r>
    </w:p>
    <w:p w14:paraId="753B2B4A" w14:textId="1039BDB1" w:rsidR="000801EA" w:rsidRPr="000801EA" w:rsidRDefault="000801EA" w:rsidP="00FE5C2F">
      <w:p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0801EA">
        <w:rPr>
          <w:rFonts w:ascii="Arial" w:eastAsia="Times New Roman" w:hAnsi="Arial" w:cs="Arial"/>
          <w:color w:val="212529"/>
          <w:sz w:val="24"/>
          <w:szCs w:val="24"/>
        </w:rPr>
        <w:t>6.</w:t>
      </w:r>
      <w:r w:rsidR="00FE5C2F">
        <w:rPr>
          <w:rFonts w:ascii="Arial" w:eastAsia="Times New Roman" w:hAnsi="Arial" w:cs="Arial"/>
          <w:color w:val="212529"/>
          <w:sz w:val="24"/>
          <w:szCs w:val="24"/>
        </w:rPr>
        <w:t>4</w:t>
      </w:r>
      <w:r w:rsidR="00FE5C2F">
        <w:rPr>
          <w:rFonts w:ascii="Arial" w:eastAsia="Times New Roman" w:hAnsi="Arial" w:cs="Arial"/>
          <w:color w:val="212529"/>
          <w:sz w:val="24"/>
          <w:szCs w:val="24"/>
        </w:rPr>
        <w:tab/>
      </w:r>
      <w:r w:rsidRPr="000801EA">
        <w:rPr>
          <w:rFonts w:ascii="Arial" w:eastAsia="Times New Roman" w:hAnsi="Arial" w:cs="Arial"/>
          <w:color w:val="212529"/>
          <w:sz w:val="24"/>
          <w:szCs w:val="24"/>
        </w:rPr>
        <w:t>Us</w:t>
      </w:r>
      <w:r w:rsidR="007F6123">
        <w:rPr>
          <w:rFonts w:ascii="Arial" w:eastAsia="Times New Roman" w:hAnsi="Arial" w:cs="Arial"/>
          <w:color w:val="212529"/>
          <w:sz w:val="24"/>
          <w:szCs w:val="24"/>
        </w:rPr>
        <w:t>ing e</w:t>
      </w:r>
      <w:r w:rsidRPr="000801EA">
        <w:rPr>
          <w:rFonts w:ascii="Arial" w:eastAsia="Times New Roman" w:hAnsi="Arial" w:cs="Arial"/>
          <w:color w:val="212529"/>
          <w:sz w:val="24"/>
          <w:szCs w:val="24"/>
        </w:rPr>
        <w:t>xperts</w:t>
      </w:r>
      <w:r w:rsidR="007F6123">
        <w:rPr>
          <w:rFonts w:ascii="Arial" w:eastAsia="Times New Roman" w:hAnsi="Arial" w:cs="Arial"/>
          <w:color w:val="212529"/>
          <w:sz w:val="24"/>
          <w:szCs w:val="24"/>
        </w:rPr>
        <w:t xml:space="preserve"> or c</w:t>
      </w:r>
      <w:r w:rsidRPr="000801EA">
        <w:rPr>
          <w:rFonts w:ascii="Arial" w:eastAsia="Times New Roman" w:hAnsi="Arial" w:cs="Arial"/>
          <w:color w:val="212529"/>
          <w:sz w:val="24"/>
          <w:szCs w:val="24"/>
        </w:rPr>
        <w:t>onsultants</w:t>
      </w:r>
    </w:p>
    <w:p w14:paraId="79F8A12D" w14:textId="39662FD0" w:rsidR="000801EA" w:rsidRDefault="000801EA" w:rsidP="00FE5C2F">
      <w:pPr>
        <w:pStyle w:val="ListParagraph"/>
        <w:numPr>
          <w:ilvl w:val="0"/>
          <w:numId w:val="30"/>
        </w:numPr>
        <w:shd w:val="clear" w:color="auto" w:fill="FFFFFF"/>
        <w:spacing w:before="100" w:beforeAutospacing="1" w:after="100" w:afterAutospacing="1" w:line="240" w:lineRule="auto"/>
        <w:ind w:left="2160"/>
        <w:rPr>
          <w:rFonts w:ascii="Arial" w:eastAsia="Times New Roman" w:hAnsi="Arial" w:cs="Arial"/>
          <w:color w:val="212529"/>
          <w:sz w:val="24"/>
          <w:szCs w:val="24"/>
        </w:rPr>
      </w:pPr>
      <w:r w:rsidRPr="00FE5C2F">
        <w:rPr>
          <w:rFonts w:ascii="Arial" w:eastAsia="Times New Roman" w:hAnsi="Arial" w:cs="Arial"/>
          <w:color w:val="212529"/>
          <w:sz w:val="24"/>
          <w:szCs w:val="24"/>
        </w:rPr>
        <w:t>In cases of low payback, it is recommended to take advantage of consultants or experts that have knowledge in the specific area which can be included as a part of the implementation cost when appropriate for the recommendation.</w:t>
      </w:r>
    </w:p>
    <w:p w14:paraId="20450FDD" w14:textId="77777777" w:rsidR="00FE5C2F" w:rsidRPr="00FE5C2F" w:rsidRDefault="00FE5C2F" w:rsidP="00FE5C2F">
      <w:pPr>
        <w:pStyle w:val="ListParagraph"/>
        <w:shd w:val="clear" w:color="auto" w:fill="FFFFFF"/>
        <w:spacing w:before="100" w:beforeAutospacing="1" w:after="100" w:afterAutospacing="1" w:line="240" w:lineRule="auto"/>
        <w:ind w:left="2160"/>
        <w:rPr>
          <w:rFonts w:ascii="Arial" w:eastAsia="Times New Roman" w:hAnsi="Arial" w:cs="Arial"/>
          <w:color w:val="212529"/>
          <w:sz w:val="24"/>
          <w:szCs w:val="24"/>
        </w:rPr>
      </w:pPr>
    </w:p>
    <w:p w14:paraId="524C3FBF" w14:textId="0F5AC86A" w:rsidR="000801EA" w:rsidRDefault="000801EA" w:rsidP="00FE5C2F">
      <w:pPr>
        <w:pStyle w:val="ListParagraph"/>
        <w:numPr>
          <w:ilvl w:val="1"/>
          <w:numId w:val="31"/>
        </w:numPr>
        <w:shd w:val="clear" w:color="auto" w:fill="FFFFFF"/>
        <w:spacing w:before="100" w:beforeAutospacing="1" w:after="100" w:afterAutospacing="1" w:line="240" w:lineRule="auto"/>
        <w:ind w:hanging="720"/>
        <w:rPr>
          <w:rFonts w:ascii="Arial" w:eastAsia="Times New Roman" w:hAnsi="Arial" w:cs="Arial"/>
          <w:color w:val="212529"/>
          <w:sz w:val="24"/>
          <w:szCs w:val="24"/>
        </w:rPr>
      </w:pPr>
      <w:r w:rsidRPr="00FE5C2F">
        <w:rPr>
          <w:rFonts w:ascii="Arial" w:eastAsia="Times New Roman" w:hAnsi="Arial" w:cs="Arial"/>
          <w:color w:val="212529"/>
          <w:sz w:val="24"/>
          <w:szCs w:val="24"/>
        </w:rPr>
        <w:t>In the case of multiple meter systems</w:t>
      </w:r>
      <w:r w:rsidR="00302E81">
        <w:rPr>
          <w:rFonts w:ascii="Arial" w:eastAsia="Times New Roman" w:hAnsi="Arial" w:cs="Arial"/>
          <w:color w:val="212529"/>
          <w:sz w:val="24"/>
          <w:szCs w:val="24"/>
        </w:rPr>
        <w:t>,</w:t>
      </w:r>
      <w:r w:rsidRPr="00FE5C2F">
        <w:rPr>
          <w:rFonts w:ascii="Arial" w:eastAsia="Times New Roman" w:hAnsi="Arial" w:cs="Arial"/>
          <w:color w:val="212529"/>
          <w:sz w:val="24"/>
          <w:szCs w:val="24"/>
        </w:rPr>
        <w:t xml:space="preserve"> specify which meter(s) is associated with </w:t>
      </w:r>
      <w:r w:rsidR="007F6123">
        <w:rPr>
          <w:rFonts w:ascii="Arial" w:eastAsia="Times New Roman" w:hAnsi="Arial" w:cs="Arial"/>
          <w:color w:val="212529"/>
          <w:sz w:val="24"/>
          <w:szCs w:val="24"/>
        </w:rPr>
        <w:t xml:space="preserve">each </w:t>
      </w:r>
      <w:r w:rsidRPr="00FE5C2F">
        <w:rPr>
          <w:rFonts w:ascii="Arial" w:eastAsia="Times New Roman" w:hAnsi="Arial" w:cs="Arial"/>
          <w:color w:val="212529"/>
          <w:sz w:val="24"/>
          <w:szCs w:val="24"/>
        </w:rPr>
        <w:t>recommendation.</w:t>
      </w:r>
    </w:p>
    <w:p w14:paraId="6D2612D2" w14:textId="77777777" w:rsidR="00FE5C2F" w:rsidRPr="00FE5C2F" w:rsidRDefault="00FE5C2F" w:rsidP="00FE5C2F">
      <w:pPr>
        <w:pStyle w:val="ListParagraph"/>
        <w:shd w:val="clear" w:color="auto" w:fill="FFFFFF"/>
        <w:spacing w:before="100" w:beforeAutospacing="1" w:after="100" w:afterAutospacing="1" w:line="240" w:lineRule="auto"/>
        <w:ind w:left="1800"/>
        <w:rPr>
          <w:rFonts w:ascii="Arial" w:eastAsia="Times New Roman" w:hAnsi="Arial" w:cs="Arial"/>
          <w:color w:val="212529"/>
          <w:sz w:val="24"/>
          <w:szCs w:val="24"/>
        </w:rPr>
      </w:pPr>
    </w:p>
    <w:p w14:paraId="52365ABA" w14:textId="77777777" w:rsidR="000801EA" w:rsidRPr="00FE5C2F" w:rsidRDefault="000801EA" w:rsidP="00FE5C2F">
      <w:pPr>
        <w:pStyle w:val="ListParagraph"/>
        <w:numPr>
          <w:ilvl w:val="0"/>
          <w:numId w:val="30"/>
        </w:numPr>
        <w:shd w:val="clear" w:color="auto" w:fill="FFFFFF"/>
        <w:spacing w:before="100" w:beforeAutospacing="1" w:after="100" w:afterAutospacing="1" w:line="240" w:lineRule="auto"/>
        <w:ind w:left="2160"/>
        <w:rPr>
          <w:rFonts w:ascii="Arial" w:eastAsia="Times New Roman" w:hAnsi="Arial" w:cs="Arial"/>
          <w:color w:val="212529"/>
          <w:sz w:val="24"/>
          <w:szCs w:val="24"/>
        </w:rPr>
      </w:pPr>
      <w:r w:rsidRPr="00FE5C2F">
        <w:rPr>
          <w:rFonts w:ascii="Arial" w:eastAsia="Times New Roman" w:hAnsi="Arial" w:cs="Arial"/>
          <w:color w:val="212529"/>
          <w:sz w:val="24"/>
          <w:szCs w:val="24"/>
        </w:rPr>
        <w:lastRenderedPageBreak/>
        <w:t>Please also clearly state which rate structure/unit cost is being used for each recommendation or if an overall meter average is being applied.</w:t>
      </w:r>
    </w:p>
    <w:p w14:paraId="6CF44328" w14:textId="77777777" w:rsidR="007F6123" w:rsidRDefault="007F6123">
      <w:pPr>
        <w:rPr>
          <w:rFonts w:ascii="Arial" w:eastAsia="Times New Roman" w:hAnsi="Arial" w:cs="Arial"/>
          <w:b/>
          <w:bCs/>
          <w:color w:val="212529"/>
          <w:sz w:val="24"/>
          <w:szCs w:val="24"/>
        </w:rPr>
      </w:pPr>
      <w:r>
        <w:rPr>
          <w:rFonts w:ascii="Arial" w:eastAsia="Times New Roman" w:hAnsi="Arial" w:cs="Arial"/>
          <w:b/>
          <w:bCs/>
          <w:color w:val="212529"/>
          <w:sz w:val="24"/>
          <w:szCs w:val="24"/>
        </w:rPr>
        <w:br w:type="page"/>
      </w:r>
    </w:p>
    <w:p w14:paraId="0A437155" w14:textId="72882B5B" w:rsidR="000801EA" w:rsidRPr="000801EA" w:rsidRDefault="000801EA" w:rsidP="007F6123">
      <w:pPr>
        <w:shd w:val="clear" w:color="auto" w:fill="FFFFFF"/>
        <w:spacing w:before="100" w:beforeAutospacing="1" w:after="100" w:afterAutospacing="1" w:line="240" w:lineRule="auto"/>
        <w:rPr>
          <w:rFonts w:ascii="Arial" w:eastAsia="Times New Roman" w:hAnsi="Arial" w:cs="Arial"/>
          <w:color w:val="212529"/>
          <w:sz w:val="24"/>
          <w:szCs w:val="24"/>
        </w:rPr>
      </w:pPr>
      <w:r w:rsidRPr="000801EA">
        <w:rPr>
          <w:rFonts w:ascii="Arial" w:eastAsia="Times New Roman" w:hAnsi="Arial" w:cs="Arial"/>
          <w:b/>
          <w:bCs/>
          <w:color w:val="212529"/>
          <w:sz w:val="24"/>
          <w:szCs w:val="24"/>
        </w:rPr>
        <w:lastRenderedPageBreak/>
        <w:t xml:space="preserve">Post Assessment </w:t>
      </w:r>
      <w:r w:rsidR="007F6123">
        <w:rPr>
          <w:rFonts w:ascii="Arial" w:eastAsia="Times New Roman" w:hAnsi="Arial" w:cs="Arial"/>
          <w:b/>
          <w:bCs/>
          <w:color w:val="212529"/>
          <w:sz w:val="24"/>
          <w:szCs w:val="24"/>
        </w:rPr>
        <w:t>Considerations</w:t>
      </w:r>
    </w:p>
    <w:p w14:paraId="585F8299" w14:textId="7E6A09D7" w:rsidR="000801EA" w:rsidRPr="007F6123" w:rsidRDefault="000801EA" w:rsidP="007F6123">
      <w:pPr>
        <w:pStyle w:val="ListParagraph"/>
        <w:numPr>
          <w:ilvl w:val="1"/>
          <w:numId w:val="33"/>
        </w:num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7F6123">
        <w:rPr>
          <w:rFonts w:ascii="Arial" w:eastAsia="Times New Roman" w:hAnsi="Arial" w:cs="Arial"/>
          <w:color w:val="212529"/>
          <w:sz w:val="24"/>
          <w:szCs w:val="24"/>
        </w:rPr>
        <w:t>The Technical Field Manager will critique all assessment reports.</w:t>
      </w:r>
    </w:p>
    <w:p w14:paraId="632214AD" w14:textId="52ADC9F3" w:rsidR="000801EA" w:rsidRPr="000801EA" w:rsidRDefault="000801EA" w:rsidP="000801EA">
      <w:pPr>
        <w:numPr>
          <w:ilvl w:val="2"/>
          <w:numId w:val="9"/>
        </w:numPr>
        <w:shd w:val="clear" w:color="auto" w:fill="FFFFFF"/>
        <w:spacing w:before="100" w:beforeAutospacing="1" w:after="100" w:afterAutospacing="1" w:line="240" w:lineRule="auto"/>
        <w:rPr>
          <w:rFonts w:ascii="Arial" w:eastAsia="Times New Roman" w:hAnsi="Arial" w:cs="Arial"/>
          <w:color w:val="212529"/>
          <w:sz w:val="24"/>
          <w:szCs w:val="24"/>
        </w:rPr>
      </w:pPr>
      <w:r w:rsidRPr="000801EA">
        <w:rPr>
          <w:rFonts w:ascii="Arial" w:eastAsia="Times New Roman" w:hAnsi="Arial" w:cs="Arial"/>
          <w:color w:val="212529"/>
          <w:sz w:val="24"/>
          <w:szCs w:val="24"/>
        </w:rPr>
        <w:t xml:space="preserve">The critiques will be a combination of comments and suggestions. </w:t>
      </w:r>
      <w:r w:rsidR="007F6123">
        <w:rPr>
          <w:rFonts w:ascii="Arial" w:eastAsia="Times New Roman" w:hAnsi="Arial" w:cs="Arial"/>
          <w:color w:val="212529"/>
          <w:sz w:val="24"/>
          <w:szCs w:val="24"/>
        </w:rPr>
        <w:t xml:space="preserve">In some instances, a </w:t>
      </w:r>
      <w:r w:rsidRPr="000801EA">
        <w:rPr>
          <w:rFonts w:ascii="Arial" w:eastAsia="Times New Roman" w:hAnsi="Arial" w:cs="Arial"/>
          <w:color w:val="212529"/>
          <w:sz w:val="24"/>
          <w:szCs w:val="24"/>
        </w:rPr>
        <w:t xml:space="preserve">request </w:t>
      </w:r>
      <w:r w:rsidR="007F6123">
        <w:rPr>
          <w:rFonts w:ascii="Arial" w:eastAsia="Times New Roman" w:hAnsi="Arial" w:cs="Arial"/>
          <w:color w:val="212529"/>
          <w:sz w:val="24"/>
          <w:szCs w:val="24"/>
        </w:rPr>
        <w:t xml:space="preserve">for </w:t>
      </w:r>
      <w:r w:rsidRPr="000801EA">
        <w:rPr>
          <w:rFonts w:ascii="Arial" w:eastAsia="Times New Roman" w:hAnsi="Arial" w:cs="Arial"/>
          <w:color w:val="212529"/>
          <w:sz w:val="24"/>
          <w:szCs w:val="24"/>
        </w:rPr>
        <w:t xml:space="preserve">changes </w:t>
      </w:r>
      <w:r w:rsidR="007F6123">
        <w:rPr>
          <w:rFonts w:ascii="Arial" w:eastAsia="Times New Roman" w:hAnsi="Arial" w:cs="Arial"/>
          <w:color w:val="212529"/>
          <w:sz w:val="24"/>
          <w:szCs w:val="24"/>
        </w:rPr>
        <w:t xml:space="preserve">will </w:t>
      </w:r>
      <w:r w:rsidRPr="000801EA">
        <w:rPr>
          <w:rFonts w:ascii="Arial" w:eastAsia="Times New Roman" w:hAnsi="Arial" w:cs="Arial"/>
          <w:color w:val="212529"/>
          <w:sz w:val="24"/>
          <w:szCs w:val="24"/>
        </w:rPr>
        <w:t xml:space="preserve">be made and a revised report </w:t>
      </w:r>
      <w:r w:rsidR="007F6123">
        <w:rPr>
          <w:rFonts w:ascii="Arial" w:eastAsia="Times New Roman" w:hAnsi="Arial" w:cs="Arial"/>
          <w:color w:val="212529"/>
          <w:sz w:val="24"/>
          <w:szCs w:val="24"/>
        </w:rPr>
        <w:t xml:space="preserve">will need to </w:t>
      </w:r>
      <w:r w:rsidRPr="000801EA">
        <w:rPr>
          <w:rFonts w:ascii="Arial" w:eastAsia="Times New Roman" w:hAnsi="Arial" w:cs="Arial"/>
          <w:color w:val="212529"/>
          <w:sz w:val="24"/>
          <w:szCs w:val="24"/>
        </w:rPr>
        <w:t>be uploaded.</w:t>
      </w:r>
    </w:p>
    <w:p w14:paraId="2D801CAC" w14:textId="77777777" w:rsidR="000801EA" w:rsidRPr="000801EA" w:rsidRDefault="000801EA" w:rsidP="000801EA">
      <w:pPr>
        <w:numPr>
          <w:ilvl w:val="2"/>
          <w:numId w:val="9"/>
        </w:numPr>
        <w:shd w:val="clear" w:color="auto" w:fill="FFFFFF"/>
        <w:spacing w:before="100" w:beforeAutospacing="1" w:after="100" w:afterAutospacing="1" w:line="240" w:lineRule="auto"/>
        <w:rPr>
          <w:rFonts w:ascii="Arial" w:eastAsia="Times New Roman" w:hAnsi="Arial" w:cs="Arial"/>
          <w:color w:val="212529"/>
          <w:sz w:val="24"/>
          <w:szCs w:val="24"/>
        </w:rPr>
      </w:pPr>
      <w:r w:rsidRPr="000801EA">
        <w:rPr>
          <w:rFonts w:ascii="Arial" w:eastAsia="Times New Roman" w:hAnsi="Arial" w:cs="Arial"/>
          <w:color w:val="212529"/>
          <w:sz w:val="24"/>
          <w:szCs w:val="24"/>
        </w:rPr>
        <w:t>Review and response to critiques is expected within 30 days.</w:t>
      </w:r>
    </w:p>
    <w:p w14:paraId="68A221B3" w14:textId="6836BE22" w:rsidR="000801EA" w:rsidRDefault="000801EA" w:rsidP="007F6123">
      <w:pPr>
        <w:pStyle w:val="ListParagraph"/>
        <w:numPr>
          <w:ilvl w:val="1"/>
          <w:numId w:val="33"/>
        </w:num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7F6123">
        <w:rPr>
          <w:rFonts w:ascii="Arial" w:eastAsia="Times New Roman" w:hAnsi="Arial" w:cs="Arial"/>
          <w:color w:val="212529"/>
          <w:sz w:val="24"/>
          <w:szCs w:val="24"/>
        </w:rPr>
        <w:t xml:space="preserve">Implementation reports should be sent to the Technical Field Manager via the </w:t>
      </w:r>
      <w:proofErr w:type="spellStart"/>
      <w:r w:rsidRPr="007F6123">
        <w:rPr>
          <w:rFonts w:ascii="Arial" w:eastAsia="Times New Roman" w:hAnsi="Arial" w:cs="Arial"/>
          <w:color w:val="212529"/>
          <w:sz w:val="24"/>
          <w:szCs w:val="24"/>
        </w:rPr>
        <w:t>ActLog</w:t>
      </w:r>
      <w:proofErr w:type="spellEnd"/>
      <w:r w:rsidRPr="007F6123">
        <w:rPr>
          <w:rFonts w:ascii="Arial" w:eastAsia="Times New Roman" w:hAnsi="Arial" w:cs="Arial"/>
          <w:color w:val="212529"/>
          <w:sz w:val="24"/>
          <w:szCs w:val="24"/>
        </w:rPr>
        <w:t xml:space="preserve"> within 6-9 months of the </w:t>
      </w:r>
      <w:r w:rsidR="00AA4668">
        <w:rPr>
          <w:rFonts w:ascii="Arial" w:eastAsia="Times New Roman" w:hAnsi="Arial" w:cs="Arial"/>
          <w:color w:val="212529"/>
          <w:sz w:val="24"/>
          <w:szCs w:val="24"/>
        </w:rPr>
        <w:t xml:space="preserve">building </w:t>
      </w:r>
      <w:r w:rsidRPr="007F6123">
        <w:rPr>
          <w:rFonts w:ascii="Arial" w:eastAsia="Times New Roman" w:hAnsi="Arial" w:cs="Arial"/>
          <w:color w:val="212529"/>
          <w:sz w:val="24"/>
          <w:szCs w:val="24"/>
        </w:rPr>
        <w:t>visit. Centers should inquire from clients about potential Case Studies at this point and obtain quotes and other pertinent Case Study information from plant personnel.</w:t>
      </w:r>
    </w:p>
    <w:p w14:paraId="25764662" w14:textId="77777777" w:rsidR="00AA4668" w:rsidRPr="00AA4668" w:rsidRDefault="00AA4668" w:rsidP="00AA4668">
      <w:pPr>
        <w:pStyle w:val="ListParagraph"/>
        <w:rPr>
          <w:rFonts w:ascii="Arial" w:eastAsia="Times New Roman" w:hAnsi="Arial" w:cs="Arial"/>
          <w:color w:val="212529"/>
          <w:sz w:val="24"/>
          <w:szCs w:val="24"/>
        </w:rPr>
      </w:pPr>
    </w:p>
    <w:p w14:paraId="2EF3C0F2" w14:textId="5120F7EE" w:rsidR="000801EA" w:rsidRPr="00AA4668" w:rsidRDefault="000801EA" w:rsidP="00AA4668">
      <w:pPr>
        <w:pStyle w:val="ListParagraph"/>
        <w:numPr>
          <w:ilvl w:val="1"/>
          <w:numId w:val="33"/>
        </w:numPr>
        <w:shd w:val="clear" w:color="auto" w:fill="FFFFFF"/>
        <w:spacing w:before="100" w:beforeAutospacing="1" w:after="100" w:afterAutospacing="1" w:line="240" w:lineRule="auto"/>
        <w:ind w:left="1800" w:hanging="720"/>
        <w:rPr>
          <w:rFonts w:ascii="Arial" w:eastAsia="Times New Roman" w:hAnsi="Arial" w:cs="Arial"/>
          <w:color w:val="212529"/>
          <w:sz w:val="24"/>
          <w:szCs w:val="24"/>
        </w:rPr>
      </w:pPr>
      <w:r w:rsidRPr="00AA4668">
        <w:rPr>
          <w:rFonts w:ascii="Arial" w:eastAsia="Times New Roman" w:hAnsi="Arial" w:cs="Arial"/>
          <w:color w:val="212529"/>
          <w:sz w:val="24"/>
          <w:szCs w:val="24"/>
        </w:rPr>
        <w:t>If a client cannot be contacted within the 10 months to obtain implementation status information, an N21 (could not contact) code may be entered into the Technical Field Manager's database. The center must maintain and forward a record of at least 5 contact attempts to the client. If the data is later obtained, the values in the database will be changed. It is unusual to have more than one client in a year that cannot be contacted. The record of the calls and reason for using the N21 code should be emailed to the Technical Field Manager.</w:t>
      </w:r>
    </w:p>
    <w:p w14:paraId="5A6BD223" w14:textId="77777777" w:rsidR="0004101D" w:rsidRDefault="0004101D"/>
    <w:sectPr w:rsidR="0004101D" w:rsidSect="00F24163">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3E06" w14:textId="77777777" w:rsidR="007206AD" w:rsidRDefault="007206AD" w:rsidP="005C3FD9">
      <w:pPr>
        <w:spacing w:after="0" w:line="240" w:lineRule="auto"/>
      </w:pPr>
      <w:r>
        <w:separator/>
      </w:r>
    </w:p>
  </w:endnote>
  <w:endnote w:type="continuationSeparator" w:id="0">
    <w:p w14:paraId="44752C08" w14:textId="77777777" w:rsidR="007206AD" w:rsidRDefault="007206AD" w:rsidP="005C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08349"/>
      <w:docPartObj>
        <w:docPartGallery w:val="Page Numbers (Bottom of Page)"/>
        <w:docPartUnique/>
      </w:docPartObj>
    </w:sdtPr>
    <w:sdtEndPr>
      <w:rPr>
        <w:rFonts w:ascii="Arial" w:hAnsi="Arial" w:cs="Arial"/>
        <w:noProof/>
      </w:rPr>
    </w:sdtEndPr>
    <w:sdtContent>
      <w:p w14:paraId="565D5DE4" w14:textId="153D1122" w:rsidR="005C3FD9" w:rsidRPr="005C3FD9" w:rsidRDefault="005C3FD9">
        <w:pPr>
          <w:pStyle w:val="Footer"/>
          <w:jc w:val="right"/>
          <w:rPr>
            <w:rFonts w:ascii="Arial" w:hAnsi="Arial" w:cs="Arial"/>
          </w:rPr>
        </w:pPr>
        <w:r w:rsidRPr="005C3FD9">
          <w:rPr>
            <w:rFonts w:ascii="Arial" w:hAnsi="Arial" w:cs="Arial"/>
          </w:rPr>
          <w:fldChar w:fldCharType="begin"/>
        </w:r>
        <w:r w:rsidRPr="005C3FD9">
          <w:rPr>
            <w:rFonts w:ascii="Arial" w:hAnsi="Arial" w:cs="Arial"/>
          </w:rPr>
          <w:instrText xml:space="preserve"> PAGE   \* MERGEFORMAT </w:instrText>
        </w:r>
        <w:r w:rsidRPr="005C3FD9">
          <w:rPr>
            <w:rFonts w:ascii="Arial" w:hAnsi="Arial" w:cs="Arial"/>
          </w:rPr>
          <w:fldChar w:fldCharType="separate"/>
        </w:r>
        <w:r w:rsidRPr="005C3FD9">
          <w:rPr>
            <w:rFonts w:ascii="Arial" w:hAnsi="Arial" w:cs="Arial"/>
            <w:noProof/>
          </w:rPr>
          <w:t>2</w:t>
        </w:r>
        <w:r w:rsidRPr="005C3FD9">
          <w:rPr>
            <w:rFonts w:ascii="Arial" w:hAnsi="Arial" w:cs="Arial"/>
            <w:noProof/>
          </w:rPr>
          <w:fldChar w:fldCharType="end"/>
        </w:r>
      </w:p>
    </w:sdtContent>
  </w:sdt>
  <w:p w14:paraId="18741550" w14:textId="77777777" w:rsidR="005C3FD9" w:rsidRDefault="005C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A3D7" w14:textId="77777777" w:rsidR="007206AD" w:rsidRDefault="007206AD" w:rsidP="005C3FD9">
      <w:pPr>
        <w:spacing w:after="0" w:line="240" w:lineRule="auto"/>
      </w:pPr>
      <w:r>
        <w:separator/>
      </w:r>
    </w:p>
  </w:footnote>
  <w:footnote w:type="continuationSeparator" w:id="0">
    <w:p w14:paraId="3B18CFC0" w14:textId="77777777" w:rsidR="007206AD" w:rsidRDefault="007206AD" w:rsidP="005C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882"/>
    <w:multiLevelType w:val="multilevel"/>
    <w:tmpl w:val="1D4437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Wingdings" w:hAnsi="Wingding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3AC13D5"/>
    <w:multiLevelType w:val="multilevel"/>
    <w:tmpl w:val="02CEE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Arial" w:hAnsi="Aria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D3B69"/>
    <w:multiLevelType w:val="multilevel"/>
    <w:tmpl w:val="EAE4EF3A"/>
    <w:lvl w:ilvl="0">
      <w:start w:val="6"/>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BFD29A5"/>
    <w:multiLevelType w:val="multilevel"/>
    <w:tmpl w:val="A6DE0F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A6CDD"/>
    <w:multiLevelType w:val="multilevel"/>
    <w:tmpl w:val="50F63F3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43A2FB5"/>
    <w:multiLevelType w:val="hybridMultilevel"/>
    <w:tmpl w:val="902C955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8B7DC8"/>
    <w:multiLevelType w:val="multilevel"/>
    <w:tmpl w:val="82FEC5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B5776"/>
    <w:multiLevelType w:val="multilevel"/>
    <w:tmpl w:val="184EC9EC"/>
    <w:lvl w:ilvl="0">
      <w:start w:val="5"/>
      <w:numFmt w:val="decimal"/>
      <w:lvlText w:val="%1"/>
      <w:lvlJc w:val="left"/>
      <w:pPr>
        <w:ind w:left="460" w:hanging="460"/>
      </w:pPr>
      <w:rPr>
        <w:rFonts w:hint="default"/>
        <w:u w:val="single"/>
      </w:rPr>
    </w:lvl>
    <w:lvl w:ilvl="1">
      <w:start w:val="11"/>
      <w:numFmt w:val="decimal"/>
      <w:lvlText w:val="%1.%2"/>
      <w:lvlJc w:val="left"/>
      <w:pPr>
        <w:ind w:left="920" w:hanging="460"/>
      </w:pPr>
      <w:rPr>
        <w:rFonts w:hint="default"/>
        <w:u w:val="single"/>
      </w:rPr>
    </w:lvl>
    <w:lvl w:ilvl="2">
      <w:start w:val="1"/>
      <w:numFmt w:val="decimal"/>
      <w:lvlText w:val="%1.%2.%3"/>
      <w:lvlJc w:val="left"/>
      <w:pPr>
        <w:ind w:left="1640" w:hanging="720"/>
      </w:pPr>
      <w:rPr>
        <w:rFonts w:hint="default"/>
        <w:u w:val="single"/>
      </w:rPr>
    </w:lvl>
    <w:lvl w:ilvl="3">
      <w:start w:val="1"/>
      <w:numFmt w:val="decimal"/>
      <w:lvlText w:val="%1.%2.%3.%4"/>
      <w:lvlJc w:val="left"/>
      <w:pPr>
        <w:ind w:left="2460" w:hanging="1080"/>
      </w:pPr>
      <w:rPr>
        <w:rFonts w:hint="default"/>
        <w:u w:val="single"/>
      </w:rPr>
    </w:lvl>
    <w:lvl w:ilvl="4">
      <w:start w:val="1"/>
      <w:numFmt w:val="decimal"/>
      <w:lvlText w:val="%1.%2.%3.%4.%5"/>
      <w:lvlJc w:val="left"/>
      <w:pPr>
        <w:ind w:left="2920" w:hanging="1080"/>
      </w:pPr>
      <w:rPr>
        <w:rFonts w:hint="default"/>
        <w:u w:val="single"/>
      </w:rPr>
    </w:lvl>
    <w:lvl w:ilvl="5">
      <w:start w:val="1"/>
      <w:numFmt w:val="decimal"/>
      <w:lvlText w:val="%1.%2.%3.%4.%5.%6"/>
      <w:lvlJc w:val="left"/>
      <w:pPr>
        <w:ind w:left="3740" w:hanging="1440"/>
      </w:pPr>
      <w:rPr>
        <w:rFonts w:hint="default"/>
        <w:u w:val="single"/>
      </w:rPr>
    </w:lvl>
    <w:lvl w:ilvl="6">
      <w:start w:val="1"/>
      <w:numFmt w:val="decimal"/>
      <w:lvlText w:val="%1.%2.%3.%4.%5.%6.%7"/>
      <w:lvlJc w:val="left"/>
      <w:pPr>
        <w:ind w:left="4200" w:hanging="1440"/>
      </w:pPr>
      <w:rPr>
        <w:rFonts w:hint="default"/>
        <w:u w:val="single"/>
      </w:rPr>
    </w:lvl>
    <w:lvl w:ilvl="7">
      <w:start w:val="1"/>
      <w:numFmt w:val="decimal"/>
      <w:lvlText w:val="%1.%2.%3.%4.%5.%6.%7.%8"/>
      <w:lvlJc w:val="left"/>
      <w:pPr>
        <w:ind w:left="5020" w:hanging="1800"/>
      </w:pPr>
      <w:rPr>
        <w:rFonts w:hint="default"/>
        <w:u w:val="single"/>
      </w:rPr>
    </w:lvl>
    <w:lvl w:ilvl="8">
      <w:start w:val="1"/>
      <w:numFmt w:val="decimal"/>
      <w:lvlText w:val="%1.%2.%3.%4.%5.%6.%7.%8.%9"/>
      <w:lvlJc w:val="left"/>
      <w:pPr>
        <w:ind w:left="5480" w:hanging="1800"/>
      </w:pPr>
      <w:rPr>
        <w:rFonts w:hint="default"/>
        <w:u w:val="single"/>
      </w:rPr>
    </w:lvl>
  </w:abstractNum>
  <w:abstractNum w:abstractNumId="8" w15:restartNumberingAfterBreak="0">
    <w:nsid w:val="228A51C8"/>
    <w:multiLevelType w:val="multilevel"/>
    <w:tmpl w:val="1D4437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Wingdings" w:hAnsi="Wingding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D9F55C3"/>
    <w:multiLevelType w:val="multilevel"/>
    <w:tmpl w:val="C980D7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6D56FF"/>
    <w:multiLevelType w:val="multilevel"/>
    <w:tmpl w:val="998E6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hint="default"/>
        <w:sz w:val="20"/>
      </w:rPr>
    </w:lvl>
    <w:lvl w:ilvl="3">
      <w:start w:val="1"/>
      <w:numFmt w:val="bullet"/>
      <w:lvlText w:val="–"/>
      <w:lvlJc w:val="left"/>
      <w:pPr>
        <w:tabs>
          <w:tab w:val="num" w:pos="2880"/>
        </w:tabs>
        <w:ind w:left="2880" w:hanging="360"/>
      </w:pPr>
      <w:rPr>
        <w:rFonts w:ascii="Arial" w:hAnsi="Arial" w:hint="default"/>
        <w:sz w:val="20"/>
      </w:rPr>
    </w:lvl>
    <w:lvl w:ilvl="4">
      <w:start w:val="1"/>
      <w:numFmt w:val="bullet"/>
      <w:lvlText w:val="–"/>
      <w:lvlJc w:val="left"/>
      <w:pPr>
        <w:tabs>
          <w:tab w:val="num" w:pos="3600"/>
        </w:tabs>
        <w:ind w:left="3600" w:hanging="360"/>
      </w:pPr>
      <w:rPr>
        <w:rFonts w:ascii="Arial" w:hAnsi="Aria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77384"/>
    <w:multiLevelType w:val="multilevel"/>
    <w:tmpl w:val="A9686C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1219BD"/>
    <w:multiLevelType w:val="multilevel"/>
    <w:tmpl w:val="50BCC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Arial" w:hAnsi="Arial" w:hint="default"/>
        <w:sz w:val="20"/>
      </w:rPr>
    </w:lvl>
    <w:lvl w:ilvl="4">
      <w:start w:val="1"/>
      <w:numFmt w:val="bullet"/>
      <w:lvlText w:val="–"/>
      <w:lvlJc w:val="left"/>
      <w:pPr>
        <w:tabs>
          <w:tab w:val="num" w:pos="3600"/>
        </w:tabs>
        <w:ind w:left="3600" w:hanging="360"/>
      </w:pPr>
      <w:rPr>
        <w:rFonts w:ascii="Arial" w:hAnsi="Aria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2041F"/>
    <w:multiLevelType w:val="multilevel"/>
    <w:tmpl w:val="8C00628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F941DFC"/>
    <w:multiLevelType w:val="multilevel"/>
    <w:tmpl w:val="1334F590"/>
    <w:lvl w:ilvl="0">
      <w:start w:val="5"/>
      <w:numFmt w:val="decimal"/>
      <w:lvlText w:val="%1"/>
      <w:lvlJc w:val="left"/>
      <w:pPr>
        <w:ind w:left="460" w:hanging="460"/>
      </w:pPr>
      <w:rPr>
        <w:rFonts w:hint="default"/>
      </w:rPr>
    </w:lvl>
    <w:lvl w:ilvl="1">
      <w:start w:val="1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D3C2328"/>
    <w:multiLevelType w:val="multilevel"/>
    <w:tmpl w:val="16D0A8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Arial" w:hAnsi="Aria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4C3431"/>
    <w:multiLevelType w:val="multilevel"/>
    <w:tmpl w:val="1D4437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Wingdings" w:hAnsi="Wingding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FB079EA"/>
    <w:multiLevelType w:val="multilevel"/>
    <w:tmpl w:val="989056E2"/>
    <w:lvl w:ilvl="0">
      <w:start w:val="5"/>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C46B0"/>
    <w:multiLevelType w:val="multilevel"/>
    <w:tmpl w:val="449ED0BC"/>
    <w:lvl w:ilvl="0">
      <w:start w:val="5"/>
      <w:numFmt w:val="decimal"/>
      <w:lvlText w:val="%1"/>
      <w:lvlJc w:val="left"/>
      <w:pPr>
        <w:ind w:left="460" w:hanging="460"/>
      </w:pPr>
      <w:rPr>
        <w:rFonts w:hint="default"/>
      </w:rPr>
    </w:lvl>
    <w:lvl w:ilvl="1">
      <w:start w:val="11"/>
      <w:numFmt w:val="decimal"/>
      <w:lvlText w:val="%1.%2"/>
      <w:lvlJc w:val="left"/>
      <w:pPr>
        <w:ind w:left="1380" w:hanging="4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160" w:hanging="1800"/>
      </w:pPr>
      <w:rPr>
        <w:rFonts w:hint="default"/>
      </w:rPr>
    </w:lvl>
  </w:abstractNum>
  <w:abstractNum w:abstractNumId="19" w15:restartNumberingAfterBreak="0">
    <w:nsid w:val="794223ED"/>
    <w:multiLevelType w:val="multilevel"/>
    <w:tmpl w:val="E2AED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Arial" w:hAnsi="Aria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9C0347"/>
    <w:multiLevelType w:val="multilevel"/>
    <w:tmpl w:val="1D4437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Wingdings" w:hAnsi="Wingding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lvlOverride w:ilvl="0">
      <w:startOverride w:val="1"/>
    </w:lvlOverride>
  </w:num>
  <w:num w:numId="2">
    <w:abstractNumId w:val="1"/>
    <w:lvlOverride w:ilvl="0"/>
    <w:lvlOverride w:ilvl="1">
      <w:startOverride w:val="1"/>
    </w:lvlOverride>
  </w:num>
  <w:num w:numId="3">
    <w:abstractNumId w:val="1"/>
  </w:num>
  <w:num w:numId="4">
    <w:abstractNumId w:val="1"/>
    <w:lvlOverride w:ilvl="0">
      <w:startOverride w:val="2"/>
    </w:lvlOverride>
    <w:lvlOverride w:ilvl="1"/>
  </w:num>
  <w:num w:numId="5">
    <w:abstractNumId w:val="1"/>
    <w:lvlOverride w:ilvl="0"/>
    <w:lvlOverride w:ilvl="1">
      <w:startOverride w:val="1"/>
    </w:lvlOverride>
  </w:num>
  <w:num w:numId="6">
    <w:abstractNumId w:val="1"/>
  </w:num>
  <w:num w:numId="7">
    <w:abstractNumId w:val="1"/>
    <w:lvlOverride w:ilvl="0"/>
    <w:lvlOverride w:ilvl="1">
      <w:startOverride w:val="3"/>
    </w:lvlOverride>
  </w:num>
  <w:num w:numId="8">
    <w:abstractNumId w:val="1"/>
    <w:lvlOverride w:ilvl="0">
      <w:startOverride w:val="3"/>
    </w:lvlOverride>
    <w:lvlOverride w:ilvl="1"/>
  </w:num>
  <w:num w:numId="9">
    <w:abstractNumId w:val="1"/>
    <w:lvlOverride w:ilvl="0"/>
    <w:lvlOverride w:ilvl="1">
      <w:startOverride w:val="1"/>
    </w:lvlOverride>
  </w:num>
  <w:num w:numId="10">
    <w:abstractNumId w:val="1"/>
    <w:lvlOverride w:ilvl="0"/>
    <w:lvlOverride w:ilvl="1">
      <w:startOverride w:val="2"/>
    </w:lvlOverride>
  </w:num>
  <w:num w:numId="11">
    <w:abstractNumId w:val="1"/>
    <w:lvlOverride w:ilvl="0"/>
    <w:lvlOverride w:ilvl="1">
      <w:startOverride w:val="3"/>
    </w:lvlOverride>
  </w:num>
  <w:num w:numId="12">
    <w:abstractNumId w:val="1"/>
    <w:lvlOverride w:ilvl="0"/>
    <w:lvlOverride w:ilvl="1">
      <w:startOverride w:val="4"/>
    </w:lvlOverride>
  </w:num>
  <w:num w:numId="13">
    <w:abstractNumId w:val="1"/>
    <w:lvlOverride w:ilvl="0"/>
    <w:lvlOverride w:ilvl="1">
      <w:startOverride w:val="5"/>
    </w:lvlOverride>
  </w:num>
  <w:num w:numId="14">
    <w:abstractNumId w:val="4"/>
  </w:num>
  <w:num w:numId="15">
    <w:abstractNumId w:val="13"/>
  </w:num>
  <w:num w:numId="16">
    <w:abstractNumId w:val="19"/>
  </w:num>
  <w:num w:numId="17">
    <w:abstractNumId w:val="14"/>
  </w:num>
  <w:num w:numId="18">
    <w:abstractNumId w:val="17"/>
  </w:num>
  <w:num w:numId="19">
    <w:abstractNumId w:val="7"/>
  </w:num>
  <w:num w:numId="20">
    <w:abstractNumId w:val="18"/>
  </w:num>
  <w:num w:numId="21">
    <w:abstractNumId w:val="15"/>
  </w:num>
  <w:num w:numId="22">
    <w:abstractNumId w:val="10"/>
  </w:num>
  <w:num w:numId="23">
    <w:abstractNumId w:val="12"/>
  </w:num>
  <w:num w:numId="24">
    <w:abstractNumId w:val="3"/>
  </w:num>
  <w:num w:numId="25">
    <w:abstractNumId w:val="6"/>
  </w:num>
  <w:num w:numId="26">
    <w:abstractNumId w:val="8"/>
  </w:num>
  <w:num w:numId="27">
    <w:abstractNumId w:val="16"/>
  </w:num>
  <w:num w:numId="28">
    <w:abstractNumId w:val="0"/>
  </w:num>
  <w:num w:numId="29">
    <w:abstractNumId w:val="20"/>
  </w:num>
  <w:num w:numId="30">
    <w:abstractNumId w:val="5"/>
  </w:num>
  <w:num w:numId="31">
    <w:abstractNumId w:val="2"/>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EA"/>
    <w:rsid w:val="00026EBC"/>
    <w:rsid w:val="0004101D"/>
    <w:rsid w:val="0007037D"/>
    <w:rsid w:val="000801EA"/>
    <w:rsid w:val="000F0E51"/>
    <w:rsid w:val="00121704"/>
    <w:rsid w:val="00141725"/>
    <w:rsid w:val="00226ED1"/>
    <w:rsid w:val="002910FB"/>
    <w:rsid w:val="002B3B04"/>
    <w:rsid w:val="002E7016"/>
    <w:rsid w:val="00302E81"/>
    <w:rsid w:val="00457538"/>
    <w:rsid w:val="004B23DF"/>
    <w:rsid w:val="004D54D1"/>
    <w:rsid w:val="00526839"/>
    <w:rsid w:val="00527FC6"/>
    <w:rsid w:val="005C3A8F"/>
    <w:rsid w:val="005C3FD9"/>
    <w:rsid w:val="00697BE5"/>
    <w:rsid w:val="006B21D1"/>
    <w:rsid w:val="007206AD"/>
    <w:rsid w:val="007502DE"/>
    <w:rsid w:val="007E48BD"/>
    <w:rsid w:val="007F6123"/>
    <w:rsid w:val="00804598"/>
    <w:rsid w:val="00822814"/>
    <w:rsid w:val="00855F91"/>
    <w:rsid w:val="008E0917"/>
    <w:rsid w:val="00936FD6"/>
    <w:rsid w:val="00AA4668"/>
    <w:rsid w:val="00AC1862"/>
    <w:rsid w:val="00B03CD2"/>
    <w:rsid w:val="00B045D1"/>
    <w:rsid w:val="00B133C3"/>
    <w:rsid w:val="00B3668A"/>
    <w:rsid w:val="00B37BC4"/>
    <w:rsid w:val="00C82AE1"/>
    <w:rsid w:val="00C90F97"/>
    <w:rsid w:val="00CC56E0"/>
    <w:rsid w:val="00DB67CA"/>
    <w:rsid w:val="00DF1499"/>
    <w:rsid w:val="00DF6703"/>
    <w:rsid w:val="00E14D4B"/>
    <w:rsid w:val="00E66AE6"/>
    <w:rsid w:val="00E849F1"/>
    <w:rsid w:val="00ED4874"/>
    <w:rsid w:val="00F24163"/>
    <w:rsid w:val="00F5224A"/>
    <w:rsid w:val="00FB21BB"/>
    <w:rsid w:val="00FC1BE6"/>
    <w:rsid w:val="00FE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38F2"/>
  <w15:chartTrackingRefBased/>
  <w15:docId w15:val="{5D0A3E0D-973F-4FC3-9900-28C7CFBB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0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01E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801EA"/>
    <w:rPr>
      <w:color w:val="0000FF"/>
      <w:u w:val="single"/>
    </w:rPr>
  </w:style>
  <w:style w:type="character" w:styleId="Strong">
    <w:name w:val="Strong"/>
    <w:basedOn w:val="DefaultParagraphFont"/>
    <w:uiPriority w:val="22"/>
    <w:qFormat/>
    <w:rsid w:val="000801EA"/>
    <w:rPr>
      <w:b/>
      <w:bCs/>
    </w:rPr>
  </w:style>
  <w:style w:type="paragraph" w:styleId="NormalWeb">
    <w:name w:val="Normal (Web)"/>
    <w:basedOn w:val="Normal"/>
    <w:uiPriority w:val="99"/>
    <w:semiHidden/>
    <w:unhideWhenUsed/>
    <w:rsid w:val="00080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3">
    <w:name w:val="mb-3"/>
    <w:basedOn w:val="Normal"/>
    <w:rsid w:val="000801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21BB"/>
    <w:pPr>
      <w:ind w:left="720"/>
      <w:contextualSpacing/>
    </w:pPr>
  </w:style>
  <w:style w:type="paragraph" w:styleId="Header">
    <w:name w:val="header"/>
    <w:basedOn w:val="Normal"/>
    <w:link w:val="HeaderChar"/>
    <w:uiPriority w:val="99"/>
    <w:unhideWhenUsed/>
    <w:rsid w:val="005C3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D9"/>
  </w:style>
  <w:style w:type="paragraph" w:styleId="Footer">
    <w:name w:val="footer"/>
    <w:basedOn w:val="Normal"/>
    <w:link w:val="FooterChar"/>
    <w:uiPriority w:val="99"/>
    <w:unhideWhenUsed/>
    <w:rsid w:val="005C3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D9"/>
  </w:style>
  <w:style w:type="paragraph" w:styleId="BalloonText">
    <w:name w:val="Balloon Text"/>
    <w:basedOn w:val="Normal"/>
    <w:link w:val="BalloonTextChar"/>
    <w:uiPriority w:val="99"/>
    <w:semiHidden/>
    <w:unhideWhenUsed/>
    <w:rsid w:val="005C3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FD9"/>
    <w:rPr>
      <w:rFonts w:ascii="Segoe UI" w:hAnsi="Segoe UI" w:cs="Segoe UI"/>
      <w:sz w:val="18"/>
      <w:szCs w:val="18"/>
    </w:rPr>
  </w:style>
  <w:style w:type="character" w:styleId="UnresolvedMention">
    <w:name w:val="Unresolved Mention"/>
    <w:basedOn w:val="DefaultParagraphFont"/>
    <w:uiPriority w:val="99"/>
    <w:semiHidden/>
    <w:unhideWhenUsed/>
    <w:rsid w:val="00AC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4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des.lb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Muller</dc:creator>
  <cp:keywords/>
  <dc:description/>
  <cp:lastModifiedBy>Suzanne Marinello</cp:lastModifiedBy>
  <cp:revision>2</cp:revision>
  <dcterms:created xsi:type="dcterms:W3CDTF">2021-11-01T18:31:00Z</dcterms:created>
  <dcterms:modified xsi:type="dcterms:W3CDTF">2021-11-01T18:31:00Z</dcterms:modified>
</cp:coreProperties>
</file>